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450D" w14:textId="7B8767B9" w:rsidR="003467AF" w:rsidRDefault="00FA3D04" w:rsidP="00FA3D04">
      <w:pPr>
        <w:pStyle w:val="Heading1"/>
        <w:jc w:val="center"/>
      </w:pPr>
      <w:bookmarkStart w:id="0" w:name="_Toc145431555"/>
      <w:r w:rsidRPr="00364FCB">
        <w:t>BACKGROUNDER ON MAXIMUM RESIDUE LIMITS (MRLS</w:t>
      </w:r>
      <w:r>
        <w:t>)</w:t>
      </w:r>
      <w:bookmarkEnd w:id="0"/>
    </w:p>
    <w:sdt>
      <w:sdtPr>
        <w:rPr>
          <w:rFonts w:asciiTheme="minorHAnsi" w:eastAsiaTheme="minorEastAsia" w:hAnsiTheme="minorHAnsi" w:cstheme="minorBidi"/>
          <w:color w:val="auto"/>
          <w:sz w:val="22"/>
          <w:szCs w:val="22"/>
        </w:rPr>
        <w:id w:val="-732932162"/>
        <w:docPartObj>
          <w:docPartGallery w:val="Table of Contents"/>
          <w:docPartUnique/>
        </w:docPartObj>
      </w:sdtPr>
      <w:sdtEndPr>
        <w:rPr>
          <w:b/>
          <w:bCs/>
          <w:noProof/>
        </w:rPr>
      </w:sdtEndPr>
      <w:sdtContent>
        <w:p w14:paraId="7A88B392" w14:textId="37CDB869" w:rsidR="006F6D45" w:rsidRDefault="006F6D45">
          <w:pPr>
            <w:pStyle w:val="TOCHeading"/>
          </w:pPr>
          <w:r>
            <w:t>Contents</w:t>
          </w:r>
        </w:p>
        <w:p w14:paraId="279F1336" w14:textId="1197B8D2" w:rsidR="005F388A" w:rsidRDefault="006F6D45">
          <w:pPr>
            <w:pStyle w:val="TOC1"/>
            <w:tabs>
              <w:tab w:val="right" w:leader="dot" w:pos="10790"/>
            </w:tabs>
            <w:rPr>
              <w:noProof/>
              <w:kern w:val="2"/>
              <w:lang w:eastAsia="en-CA"/>
              <w14:ligatures w14:val="standardContextual"/>
            </w:rPr>
          </w:pPr>
          <w:r>
            <w:fldChar w:fldCharType="begin"/>
          </w:r>
          <w:r>
            <w:instrText xml:space="preserve"> TOC \o "1-3" \h \z \u </w:instrText>
          </w:r>
          <w:r>
            <w:fldChar w:fldCharType="separate"/>
          </w:r>
          <w:hyperlink w:anchor="_Toc145431555" w:history="1">
            <w:r w:rsidR="005F388A" w:rsidRPr="00E06669">
              <w:rPr>
                <w:rStyle w:val="Hyperlink"/>
                <w:noProof/>
              </w:rPr>
              <w:t>BACKGROUNDER ON MAXIMUM RESIDUE LIMITS (MRLS)</w:t>
            </w:r>
            <w:r w:rsidR="005F388A">
              <w:rPr>
                <w:noProof/>
                <w:webHidden/>
              </w:rPr>
              <w:tab/>
            </w:r>
            <w:r w:rsidR="005F388A">
              <w:rPr>
                <w:noProof/>
                <w:webHidden/>
              </w:rPr>
              <w:fldChar w:fldCharType="begin"/>
            </w:r>
            <w:r w:rsidR="005F388A">
              <w:rPr>
                <w:noProof/>
                <w:webHidden/>
              </w:rPr>
              <w:instrText xml:space="preserve"> PAGEREF _Toc145431555 \h </w:instrText>
            </w:r>
            <w:r w:rsidR="005F388A">
              <w:rPr>
                <w:noProof/>
                <w:webHidden/>
              </w:rPr>
            </w:r>
            <w:r w:rsidR="005F388A">
              <w:rPr>
                <w:noProof/>
                <w:webHidden/>
              </w:rPr>
              <w:fldChar w:fldCharType="separate"/>
            </w:r>
            <w:r w:rsidR="00F400C9">
              <w:rPr>
                <w:noProof/>
                <w:webHidden/>
              </w:rPr>
              <w:t>1</w:t>
            </w:r>
            <w:r w:rsidR="005F388A">
              <w:rPr>
                <w:noProof/>
                <w:webHidden/>
              </w:rPr>
              <w:fldChar w:fldCharType="end"/>
            </w:r>
          </w:hyperlink>
        </w:p>
        <w:p w14:paraId="1CB0C02F" w14:textId="62ED7354" w:rsidR="005F388A" w:rsidRDefault="00000000">
          <w:pPr>
            <w:pStyle w:val="TOC2"/>
            <w:tabs>
              <w:tab w:val="right" w:leader="dot" w:pos="10790"/>
            </w:tabs>
            <w:rPr>
              <w:noProof/>
              <w:kern w:val="2"/>
              <w:lang w:eastAsia="en-CA"/>
              <w14:ligatures w14:val="standardContextual"/>
            </w:rPr>
          </w:pPr>
          <w:hyperlink w:anchor="_Toc145431556" w:history="1">
            <w:r w:rsidR="005F388A" w:rsidRPr="00E06669">
              <w:rPr>
                <w:rStyle w:val="Hyperlink"/>
                <w:noProof/>
              </w:rPr>
              <w:t>Introduction: What is an MRL and an Import MRL?</w:t>
            </w:r>
            <w:r w:rsidR="005F388A">
              <w:rPr>
                <w:noProof/>
                <w:webHidden/>
              </w:rPr>
              <w:tab/>
            </w:r>
            <w:r w:rsidR="005F388A">
              <w:rPr>
                <w:noProof/>
                <w:webHidden/>
              </w:rPr>
              <w:fldChar w:fldCharType="begin"/>
            </w:r>
            <w:r w:rsidR="005F388A">
              <w:rPr>
                <w:noProof/>
                <w:webHidden/>
              </w:rPr>
              <w:instrText xml:space="preserve"> PAGEREF _Toc145431556 \h </w:instrText>
            </w:r>
            <w:r w:rsidR="005F388A">
              <w:rPr>
                <w:noProof/>
                <w:webHidden/>
              </w:rPr>
            </w:r>
            <w:r w:rsidR="005F388A">
              <w:rPr>
                <w:noProof/>
                <w:webHidden/>
              </w:rPr>
              <w:fldChar w:fldCharType="separate"/>
            </w:r>
            <w:r w:rsidR="00F400C9">
              <w:rPr>
                <w:noProof/>
                <w:webHidden/>
              </w:rPr>
              <w:t>2</w:t>
            </w:r>
            <w:r w:rsidR="005F388A">
              <w:rPr>
                <w:noProof/>
                <w:webHidden/>
              </w:rPr>
              <w:fldChar w:fldCharType="end"/>
            </w:r>
          </w:hyperlink>
        </w:p>
        <w:p w14:paraId="43C97C14" w14:textId="06A0F26F" w:rsidR="005F388A" w:rsidRDefault="00000000">
          <w:pPr>
            <w:pStyle w:val="TOC2"/>
            <w:tabs>
              <w:tab w:val="right" w:leader="dot" w:pos="10790"/>
            </w:tabs>
            <w:rPr>
              <w:noProof/>
              <w:kern w:val="2"/>
              <w:lang w:eastAsia="en-CA"/>
              <w14:ligatures w14:val="standardContextual"/>
            </w:rPr>
          </w:pPr>
          <w:hyperlink w:anchor="_Toc145431557" w:history="1">
            <w:r w:rsidR="005F388A" w:rsidRPr="00E06669">
              <w:rPr>
                <w:rStyle w:val="Hyperlink"/>
                <w:noProof/>
              </w:rPr>
              <w:t>No Jurisdiction to Approve or Import MRLs</w:t>
            </w:r>
            <w:r w:rsidR="005F388A">
              <w:rPr>
                <w:noProof/>
                <w:webHidden/>
              </w:rPr>
              <w:tab/>
            </w:r>
            <w:r w:rsidR="005F388A">
              <w:rPr>
                <w:noProof/>
                <w:webHidden/>
              </w:rPr>
              <w:fldChar w:fldCharType="begin"/>
            </w:r>
            <w:r w:rsidR="005F388A">
              <w:rPr>
                <w:noProof/>
                <w:webHidden/>
              </w:rPr>
              <w:instrText xml:space="preserve"> PAGEREF _Toc145431557 \h </w:instrText>
            </w:r>
            <w:r w:rsidR="005F388A">
              <w:rPr>
                <w:noProof/>
                <w:webHidden/>
              </w:rPr>
            </w:r>
            <w:r w:rsidR="005F388A">
              <w:rPr>
                <w:noProof/>
                <w:webHidden/>
              </w:rPr>
              <w:fldChar w:fldCharType="separate"/>
            </w:r>
            <w:r w:rsidR="00F400C9">
              <w:rPr>
                <w:noProof/>
                <w:webHidden/>
              </w:rPr>
              <w:t>2</w:t>
            </w:r>
            <w:r w:rsidR="005F388A">
              <w:rPr>
                <w:noProof/>
                <w:webHidden/>
              </w:rPr>
              <w:fldChar w:fldCharType="end"/>
            </w:r>
          </w:hyperlink>
        </w:p>
        <w:p w14:paraId="23A9DD2A" w14:textId="64E0E87D" w:rsidR="005F388A" w:rsidRDefault="00000000">
          <w:pPr>
            <w:pStyle w:val="TOC2"/>
            <w:tabs>
              <w:tab w:val="right" w:leader="dot" w:pos="10790"/>
            </w:tabs>
            <w:rPr>
              <w:noProof/>
              <w:kern w:val="2"/>
              <w:lang w:eastAsia="en-CA"/>
              <w14:ligatures w14:val="standardContextual"/>
            </w:rPr>
          </w:pPr>
          <w:hyperlink w:anchor="_Toc145431558" w:history="1">
            <w:r w:rsidR="005F388A" w:rsidRPr="00E06669">
              <w:rPr>
                <w:rStyle w:val="Hyperlink"/>
                <w:noProof/>
              </w:rPr>
              <w:t>Context: Government Paused and is Now Increasing MRLs</w:t>
            </w:r>
            <w:r w:rsidR="005F388A">
              <w:rPr>
                <w:noProof/>
                <w:webHidden/>
              </w:rPr>
              <w:tab/>
            </w:r>
            <w:r w:rsidR="005F388A">
              <w:rPr>
                <w:noProof/>
                <w:webHidden/>
              </w:rPr>
              <w:fldChar w:fldCharType="begin"/>
            </w:r>
            <w:r w:rsidR="005F388A">
              <w:rPr>
                <w:noProof/>
                <w:webHidden/>
              </w:rPr>
              <w:instrText xml:space="preserve"> PAGEREF _Toc145431558 \h </w:instrText>
            </w:r>
            <w:r w:rsidR="005F388A">
              <w:rPr>
                <w:noProof/>
                <w:webHidden/>
              </w:rPr>
            </w:r>
            <w:r w:rsidR="005F388A">
              <w:rPr>
                <w:noProof/>
                <w:webHidden/>
              </w:rPr>
              <w:fldChar w:fldCharType="separate"/>
            </w:r>
            <w:r w:rsidR="00F400C9">
              <w:rPr>
                <w:noProof/>
                <w:webHidden/>
              </w:rPr>
              <w:t>2</w:t>
            </w:r>
            <w:r w:rsidR="005F388A">
              <w:rPr>
                <w:noProof/>
                <w:webHidden/>
              </w:rPr>
              <w:fldChar w:fldCharType="end"/>
            </w:r>
          </w:hyperlink>
        </w:p>
        <w:p w14:paraId="46965C30" w14:textId="7E3DE9E6" w:rsidR="005F388A" w:rsidRDefault="00000000">
          <w:pPr>
            <w:pStyle w:val="TOC3"/>
            <w:tabs>
              <w:tab w:val="right" w:leader="dot" w:pos="10790"/>
            </w:tabs>
            <w:rPr>
              <w:noProof/>
              <w:kern w:val="2"/>
              <w:lang w:eastAsia="en-CA"/>
              <w14:ligatures w14:val="standardContextual"/>
            </w:rPr>
          </w:pPr>
          <w:hyperlink w:anchor="_Toc145431559" w:history="1">
            <w:r w:rsidR="005F388A" w:rsidRPr="00E06669">
              <w:rPr>
                <w:rStyle w:val="Hyperlink"/>
                <w:noProof/>
              </w:rPr>
              <w:t>2021 Proposal to Increase Glyphosate Levels in lentils, beans/peas</w:t>
            </w:r>
            <w:r w:rsidR="005F388A">
              <w:rPr>
                <w:noProof/>
                <w:webHidden/>
              </w:rPr>
              <w:tab/>
            </w:r>
            <w:r w:rsidR="005F388A">
              <w:rPr>
                <w:noProof/>
                <w:webHidden/>
              </w:rPr>
              <w:fldChar w:fldCharType="begin"/>
            </w:r>
            <w:r w:rsidR="005F388A">
              <w:rPr>
                <w:noProof/>
                <w:webHidden/>
              </w:rPr>
              <w:instrText xml:space="preserve"> PAGEREF _Toc145431559 \h </w:instrText>
            </w:r>
            <w:r w:rsidR="005F388A">
              <w:rPr>
                <w:noProof/>
                <w:webHidden/>
              </w:rPr>
            </w:r>
            <w:r w:rsidR="005F388A">
              <w:rPr>
                <w:noProof/>
                <w:webHidden/>
              </w:rPr>
              <w:fldChar w:fldCharType="separate"/>
            </w:r>
            <w:r w:rsidR="00F400C9">
              <w:rPr>
                <w:noProof/>
                <w:webHidden/>
              </w:rPr>
              <w:t>2</w:t>
            </w:r>
            <w:r w:rsidR="005F388A">
              <w:rPr>
                <w:noProof/>
                <w:webHidden/>
              </w:rPr>
              <w:fldChar w:fldCharType="end"/>
            </w:r>
          </w:hyperlink>
        </w:p>
        <w:p w14:paraId="115B85AA" w14:textId="3395FA7F" w:rsidR="005F388A" w:rsidRDefault="00000000">
          <w:pPr>
            <w:pStyle w:val="TOC3"/>
            <w:tabs>
              <w:tab w:val="right" w:leader="dot" w:pos="10790"/>
            </w:tabs>
            <w:rPr>
              <w:noProof/>
              <w:kern w:val="2"/>
              <w:lang w:eastAsia="en-CA"/>
              <w14:ligatures w14:val="standardContextual"/>
            </w:rPr>
          </w:pPr>
          <w:hyperlink w:anchor="_Toc145431560" w:history="1">
            <w:r w:rsidR="005F388A" w:rsidRPr="00E06669">
              <w:rPr>
                <w:rStyle w:val="Hyperlink"/>
                <w:noProof/>
              </w:rPr>
              <w:t>Pause</w:t>
            </w:r>
            <w:r w:rsidR="005F388A">
              <w:rPr>
                <w:noProof/>
                <w:webHidden/>
              </w:rPr>
              <w:tab/>
            </w:r>
            <w:r w:rsidR="005F388A">
              <w:rPr>
                <w:noProof/>
                <w:webHidden/>
              </w:rPr>
              <w:fldChar w:fldCharType="begin"/>
            </w:r>
            <w:r w:rsidR="005F388A">
              <w:rPr>
                <w:noProof/>
                <w:webHidden/>
              </w:rPr>
              <w:instrText xml:space="preserve"> PAGEREF _Toc145431560 \h </w:instrText>
            </w:r>
            <w:r w:rsidR="005F388A">
              <w:rPr>
                <w:noProof/>
                <w:webHidden/>
              </w:rPr>
            </w:r>
            <w:r w:rsidR="005F388A">
              <w:rPr>
                <w:noProof/>
                <w:webHidden/>
              </w:rPr>
              <w:fldChar w:fldCharType="separate"/>
            </w:r>
            <w:r w:rsidR="00F400C9">
              <w:rPr>
                <w:noProof/>
                <w:webHidden/>
              </w:rPr>
              <w:t>3</w:t>
            </w:r>
            <w:r w:rsidR="005F388A">
              <w:rPr>
                <w:noProof/>
                <w:webHidden/>
              </w:rPr>
              <w:fldChar w:fldCharType="end"/>
            </w:r>
          </w:hyperlink>
        </w:p>
        <w:p w14:paraId="7F2397A1" w14:textId="72356758" w:rsidR="005F388A" w:rsidRDefault="00000000">
          <w:pPr>
            <w:pStyle w:val="TOC3"/>
            <w:tabs>
              <w:tab w:val="right" w:leader="dot" w:pos="10790"/>
            </w:tabs>
            <w:rPr>
              <w:noProof/>
              <w:kern w:val="2"/>
              <w:lang w:eastAsia="en-CA"/>
              <w14:ligatures w14:val="standardContextual"/>
            </w:rPr>
          </w:pPr>
          <w:hyperlink w:anchor="_Toc145431561" w:history="1">
            <w:r w:rsidR="005F388A" w:rsidRPr="00E06669">
              <w:rPr>
                <w:rStyle w:val="Hyperlink"/>
                <w:noProof/>
              </w:rPr>
              <w:t>Lifting Pause and NOI 2023-01</w:t>
            </w:r>
            <w:r w:rsidR="005F388A">
              <w:rPr>
                <w:noProof/>
                <w:webHidden/>
              </w:rPr>
              <w:tab/>
            </w:r>
            <w:r w:rsidR="005F388A">
              <w:rPr>
                <w:noProof/>
                <w:webHidden/>
              </w:rPr>
              <w:fldChar w:fldCharType="begin"/>
            </w:r>
            <w:r w:rsidR="005F388A">
              <w:rPr>
                <w:noProof/>
                <w:webHidden/>
              </w:rPr>
              <w:instrText xml:space="preserve"> PAGEREF _Toc145431561 \h </w:instrText>
            </w:r>
            <w:r w:rsidR="005F388A">
              <w:rPr>
                <w:noProof/>
                <w:webHidden/>
              </w:rPr>
            </w:r>
            <w:r w:rsidR="005F388A">
              <w:rPr>
                <w:noProof/>
                <w:webHidden/>
              </w:rPr>
              <w:fldChar w:fldCharType="separate"/>
            </w:r>
            <w:r w:rsidR="00F400C9">
              <w:rPr>
                <w:noProof/>
                <w:webHidden/>
              </w:rPr>
              <w:t>3</w:t>
            </w:r>
            <w:r w:rsidR="005F388A">
              <w:rPr>
                <w:noProof/>
                <w:webHidden/>
              </w:rPr>
              <w:fldChar w:fldCharType="end"/>
            </w:r>
          </w:hyperlink>
        </w:p>
        <w:p w14:paraId="137D09A1" w14:textId="4434CC42" w:rsidR="005F388A" w:rsidRDefault="00000000">
          <w:pPr>
            <w:pStyle w:val="TOC2"/>
            <w:tabs>
              <w:tab w:val="right" w:leader="dot" w:pos="10790"/>
            </w:tabs>
            <w:rPr>
              <w:noProof/>
              <w:kern w:val="2"/>
              <w:lang w:eastAsia="en-CA"/>
              <w14:ligatures w14:val="standardContextual"/>
            </w:rPr>
          </w:pPr>
          <w:hyperlink w:anchor="_Toc145431562" w:history="1">
            <w:r w:rsidR="005F388A" w:rsidRPr="00E06669">
              <w:rPr>
                <w:rStyle w:val="Hyperlink"/>
                <w:noProof/>
              </w:rPr>
              <w:t>Import MRLs, Inflation of Domestic MRLs</w:t>
            </w:r>
            <w:r w:rsidR="005F388A">
              <w:rPr>
                <w:noProof/>
                <w:webHidden/>
              </w:rPr>
              <w:tab/>
            </w:r>
            <w:r w:rsidR="005F388A">
              <w:rPr>
                <w:noProof/>
                <w:webHidden/>
              </w:rPr>
              <w:fldChar w:fldCharType="begin"/>
            </w:r>
            <w:r w:rsidR="005F388A">
              <w:rPr>
                <w:noProof/>
                <w:webHidden/>
              </w:rPr>
              <w:instrText xml:space="preserve"> PAGEREF _Toc145431562 \h </w:instrText>
            </w:r>
            <w:r w:rsidR="005F388A">
              <w:rPr>
                <w:noProof/>
                <w:webHidden/>
              </w:rPr>
            </w:r>
            <w:r w:rsidR="005F388A">
              <w:rPr>
                <w:noProof/>
                <w:webHidden/>
              </w:rPr>
              <w:fldChar w:fldCharType="separate"/>
            </w:r>
            <w:r w:rsidR="00F400C9">
              <w:rPr>
                <w:noProof/>
                <w:webHidden/>
              </w:rPr>
              <w:t>3</w:t>
            </w:r>
            <w:r w:rsidR="005F388A">
              <w:rPr>
                <w:noProof/>
                <w:webHidden/>
              </w:rPr>
              <w:fldChar w:fldCharType="end"/>
            </w:r>
          </w:hyperlink>
        </w:p>
        <w:p w14:paraId="3EE72EFE" w14:textId="0DAFA28F" w:rsidR="005F388A" w:rsidRDefault="00000000">
          <w:pPr>
            <w:pStyle w:val="TOC2"/>
            <w:tabs>
              <w:tab w:val="right" w:leader="dot" w:pos="10790"/>
            </w:tabs>
            <w:rPr>
              <w:noProof/>
              <w:kern w:val="2"/>
              <w:lang w:eastAsia="en-CA"/>
              <w14:ligatures w14:val="standardContextual"/>
            </w:rPr>
          </w:pPr>
          <w:hyperlink w:anchor="_Toc145431563" w:history="1">
            <w:r w:rsidR="005F388A" w:rsidRPr="00E06669">
              <w:rPr>
                <w:rStyle w:val="Hyperlink"/>
                <w:noProof/>
              </w:rPr>
              <w:t>Problems with Using Higher Import MRL as Canadian MRL</w:t>
            </w:r>
            <w:r w:rsidR="005F388A">
              <w:rPr>
                <w:noProof/>
                <w:webHidden/>
              </w:rPr>
              <w:tab/>
            </w:r>
            <w:r w:rsidR="005F388A">
              <w:rPr>
                <w:noProof/>
                <w:webHidden/>
              </w:rPr>
              <w:fldChar w:fldCharType="begin"/>
            </w:r>
            <w:r w:rsidR="005F388A">
              <w:rPr>
                <w:noProof/>
                <w:webHidden/>
              </w:rPr>
              <w:instrText xml:space="preserve"> PAGEREF _Toc145431563 \h </w:instrText>
            </w:r>
            <w:r w:rsidR="005F388A">
              <w:rPr>
                <w:noProof/>
                <w:webHidden/>
              </w:rPr>
            </w:r>
            <w:r w:rsidR="005F388A">
              <w:rPr>
                <w:noProof/>
                <w:webHidden/>
              </w:rPr>
              <w:fldChar w:fldCharType="separate"/>
            </w:r>
            <w:r w:rsidR="00F400C9">
              <w:rPr>
                <w:noProof/>
                <w:webHidden/>
              </w:rPr>
              <w:t>4</w:t>
            </w:r>
            <w:r w:rsidR="005F388A">
              <w:rPr>
                <w:noProof/>
                <w:webHidden/>
              </w:rPr>
              <w:fldChar w:fldCharType="end"/>
            </w:r>
          </w:hyperlink>
        </w:p>
        <w:p w14:paraId="4602A761" w14:textId="5067A512" w:rsidR="005F388A" w:rsidRDefault="00000000">
          <w:pPr>
            <w:pStyle w:val="TOC3"/>
            <w:tabs>
              <w:tab w:val="right" w:leader="dot" w:pos="10790"/>
            </w:tabs>
            <w:rPr>
              <w:noProof/>
              <w:kern w:val="2"/>
              <w:lang w:eastAsia="en-CA"/>
              <w14:ligatures w14:val="standardContextual"/>
            </w:rPr>
          </w:pPr>
          <w:hyperlink w:anchor="_Toc145431564" w:history="1">
            <w:r w:rsidR="005F388A" w:rsidRPr="00E06669">
              <w:rPr>
                <w:rStyle w:val="Hyperlink"/>
                <w:noProof/>
              </w:rPr>
              <w:t>- Removes Canadian standard</w:t>
            </w:r>
            <w:r w:rsidR="005F388A">
              <w:rPr>
                <w:noProof/>
                <w:webHidden/>
              </w:rPr>
              <w:tab/>
            </w:r>
            <w:r w:rsidR="005F388A">
              <w:rPr>
                <w:noProof/>
                <w:webHidden/>
              </w:rPr>
              <w:fldChar w:fldCharType="begin"/>
            </w:r>
            <w:r w:rsidR="005F388A">
              <w:rPr>
                <w:noProof/>
                <w:webHidden/>
              </w:rPr>
              <w:instrText xml:space="preserve"> PAGEREF _Toc145431564 \h </w:instrText>
            </w:r>
            <w:r w:rsidR="005F388A">
              <w:rPr>
                <w:noProof/>
                <w:webHidden/>
              </w:rPr>
            </w:r>
            <w:r w:rsidR="005F388A">
              <w:rPr>
                <w:noProof/>
                <w:webHidden/>
              </w:rPr>
              <w:fldChar w:fldCharType="separate"/>
            </w:r>
            <w:r w:rsidR="00F400C9">
              <w:rPr>
                <w:noProof/>
                <w:webHidden/>
              </w:rPr>
              <w:t>4</w:t>
            </w:r>
            <w:r w:rsidR="005F388A">
              <w:rPr>
                <w:noProof/>
                <w:webHidden/>
              </w:rPr>
              <w:fldChar w:fldCharType="end"/>
            </w:r>
          </w:hyperlink>
        </w:p>
        <w:p w14:paraId="6EDC1DA9" w14:textId="7E02F7B2" w:rsidR="005F388A" w:rsidRDefault="00000000">
          <w:pPr>
            <w:pStyle w:val="TOC3"/>
            <w:tabs>
              <w:tab w:val="right" w:leader="dot" w:pos="10790"/>
            </w:tabs>
            <w:rPr>
              <w:noProof/>
              <w:kern w:val="2"/>
              <w:lang w:eastAsia="en-CA"/>
              <w14:ligatures w14:val="standardContextual"/>
            </w:rPr>
          </w:pPr>
          <w:hyperlink w:anchor="_Toc145431565" w:history="1">
            <w:r w:rsidR="005F388A" w:rsidRPr="00E06669">
              <w:rPr>
                <w:rStyle w:val="Hyperlink"/>
                <w:noProof/>
              </w:rPr>
              <w:t>- Free Pass for High Levels</w:t>
            </w:r>
            <w:r w:rsidR="005F388A">
              <w:rPr>
                <w:noProof/>
                <w:webHidden/>
              </w:rPr>
              <w:tab/>
            </w:r>
            <w:r w:rsidR="005F388A">
              <w:rPr>
                <w:noProof/>
                <w:webHidden/>
              </w:rPr>
              <w:fldChar w:fldCharType="begin"/>
            </w:r>
            <w:r w:rsidR="005F388A">
              <w:rPr>
                <w:noProof/>
                <w:webHidden/>
              </w:rPr>
              <w:instrText xml:space="preserve"> PAGEREF _Toc145431565 \h </w:instrText>
            </w:r>
            <w:r w:rsidR="005F388A">
              <w:rPr>
                <w:noProof/>
                <w:webHidden/>
              </w:rPr>
            </w:r>
            <w:r w:rsidR="005F388A">
              <w:rPr>
                <w:noProof/>
                <w:webHidden/>
              </w:rPr>
              <w:fldChar w:fldCharType="separate"/>
            </w:r>
            <w:r w:rsidR="00F400C9">
              <w:rPr>
                <w:noProof/>
                <w:webHidden/>
              </w:rPr>
              <w:t>4</w:t>
            </w:r>
            <w:r w:rsidR="005F388A">
              <w:rPr>
                <w:noProof/>
                <w:webHidden/>
              </w:rPr>
              <w:fldChar w:fldCharType="end"/>
            </w:r>
          </w:hyperlink>
        </w:p>
        <w:p w14:paraId="0D6ACC0B" w14:textId="427E8779" w:rsidR="005F388A" w:rsidRDefault="00000000">
          <w:pPr>
            <w:pStyle w:val="TOC3"/>
            <w:tabs>
              <w:tab w:val="left" w:pos="880"/>
              <w:tab w:val="right" w:leader="dot" w:pos="10790"/>
            </w:tabs>
            <w:rPr>
              <w:noProof/>
              <w:kern w:val="2"/>
              <w:lang w:eastAsia="en-CA"/>
              <w14:ligatures w14:val="standardContextual"/>
            </w:rPr>
          </w:pPr>
          <w:hyperlink w:anchor="_Toc145431566" w:history="1">
            <w:r w:rsidR="005F388A" w:rsidRPr="00E06669">
              <w:rPr>
                <w:rStyle w:val="Hyperlink"/>
                <w:rFonts w:ascii="Symbol" w:hAnsi="Symbol"/>
                <w:noProof/>
              </w:rPr>
              <w:t></w:t>
            </w:r>
            <w:r w:rsidR="005F388A">
              <w:rPr>
                <w:noProof/>
                <w:kern w:val="2"/>
                <w:lang w:eastAsia="en-CA"/>
                <w14:ligatures w14:val="standardContextual"/>
              </w:rPr>
              <w:tab/>
            </w:r>
            <w:r w:rsidR="005F388A" w:rsidRPr="00E06669">
              <w:rPr>
                <w:rStyle w:val="Hyperlink"/>
                <w:noProof/>
              </w:rPr>
              <w:t>From Wrong Labels</w:t>
            </w:r>
            <w:r w:rsidR="005F388A">
              <w:rPr>
                <w:noProof/>
                <w:webHidden/>
              </w:rPr>
              <w:tab/>
            </w:r>
            <w:r w:rsidR="005F388A">
              <w:rPr>
                <w:noProof/>
                <w:webHidden/>
              </w:rPr>
              <w:fldChar w:fldCharType="begin"/>
            </w:r>
            <w:r w:rsidR="005F388A">
              <w:rPr>
                <w:noProof/>
                <w:webHidden/>
              </w:rPr>
              <w:instrText xml:space="preserve"> PAGEREF _Toc145431566 \h </w:instrText>
            </w:r>
            <w:r w:rsidR="005F388A">
              <w:rPr>
                <w:noProof/>
                <w:webHidden/>
              </w:rPr>
            </w:r>
            <w:r w:rsidR="005F388A">
              <w:rPr>
                <w:noProof/>
                <w:webHidden/>
              </w:rPr>
              <w:fldChar w:fldCharType="separate"/>
            </w:r>
            <w:r w:rsidR="00F400C9">
              <w:rPr>
                <w:noProof/>
                <w:webHidden/>
              </w:rPr>
              <w:t>4</w:t>
            </w:r>
            <w:r w:rsidR="005F388A">
              <w:rPr>
                <w:noProof/>
                <w:webHidden/>
              </w:rPr>
              <w:fldChar w:fldCharType="end"/>
            </w:r>
          </w:hyperlink>
        </w:p>
        <w:p w14:paraId="552267FC" w14:textId="64D7471E" w:rsidR="005F388A" w:rsidRDefault="00000000">
          <w:pPr>
            <w:pStyle w:val="TOC3"/>
            <w:tabs>
              <w:tab w:val="left" w:pos="880"/>
              <w:tab w:val="right" w:leader="dot" w:pos="10790"/>
            </w:tabs>
            <w:rPr>
              <w:noProof/>
              <w:kern w:val="2"/>
              <w:lang w:eastAsia="en-CA"/>
              <w14:ligatures w14:val="standardContextual"/>
            </w:rPr>
          </w:pPr>
          <w:hyperlink w:anchor="_Toc145431567" w:history="1">
            <w:r w:rsidR="005F388A" w:rsidRPr="00E06669">
              <w:rPr>
                <w:rStyle w:val="Hyperlink"/>
                <w:rFonts w:ascii="Symbol" w:hAnsi="Symbol"/>
                <w:noProof/>
              </w:rPr>
              <w:t></w:t>
            </w:r>
            <w:r w:rsidR="005F388A">
              <w:rPr>
                <w:noProof/>
                <w:kern w:val="2"/>
                <w:lang w:eastAsia="en-CA"/>
                <w14:ligatures w14:val="standardContextual"/>
              </w:rPr>
              <w:tab/>
            </w:r>
            <w:r w:rsidR="005F388A" w:rsidRPr="00E06669">
              <w:rPr>
                <w:rStyle w:val="Hyperlink"/>
                <w:noProof/>
              </w:rPr>
              <w:t>Because of Field Conditions</w:t>
            </w:r>
            <w:r w:rsidR="005F388A">
              <w:rPr>
                <w:noProof/>
                <w:webHidden/>
              </w:rPr>
              <w:tab/>
            </w:r>
            <w:r w:rsidR="005F388A">
              <w:rPr>
                <w:noProof/>
                <w:webHidden/>
              </w:rPr>
              <w:fldChar w:fldCharType="begin"/>
            </w:r>
            <w:r w:rsidR="005F388A">
              <w:rPr>
                <w:noProof/>
                <w:webHidden/>
              </w:rPr>
              <w:instrText xml:space="preserve"> PAGEREF _Toc145431567 \h </w:instrText>
            </w:r>
            <w:r w:rsidR="005F388A">
              <w:rPr>
                <w:noProof/>
                <w:webHidden/>
              </w:rPr>
            </w:r>
            <w:r w:rsidR="005F388A">
              <w:rPr>
                <w:noProof/>
                <w:webHidden/>
              </w:rPr>
              <w:fldChar w:fldCharType="separate"/>
            </w:r>
            <w:r w:rsidR="00F400C9">
              <w:rPr>
                <w:noProof/>
                <w:webHidden/>
              </w:rPr>
              <w:t>5</w:t>
            </w:r>
            <w:r w:rsidR="005F388A">
              <w:rPr>
                <w:noProof/>
                <w:webHidden/>
              </w:rPr>
              <w:fldChar w:fldCharType="end"/>
            </w:r>
          </w:hyperlink>
        </w:p>
        <w:p w14:paraId="23FC0BE9" w14:textId="1D110C21" w:rsidR="005F388A" w:rsidRDefault="00000000">
          <w:pPr>
            <w:pStyle w:val="TOC3"/>
            <w:tabs>
              <w:tab w:val="left" w:pos="880"/>
              <w:tab w:val="right" w:leader="dot" w:pos="10790"/>
            </w:tabs>
            <w:rPr>
              <w:noProof/>
              <w:kern w:val="2"/>
              <w:lang w:eastAsia="en-CA"/>
              <w14:ligatures w14:val="standardContextual"/>
            </w:rPr>
          </w:pPr>
          <w:hyperlink w:anchor="_Toc145431568" w:history="1">
            <w:r w:rsidR="005F388A" w:rsidRPr="00E06669">
              <w:rPr>
                <w:rStyle w:val="Hyperlink"/>
                <w:rFonts w:ascii="Symbol" w:hAnsi="Symbol"/>
                <w:noProof/>
              </w:rPr>
              <w:t></w:t>
            </w:r>
            <w:r w:rsidR="005F388A">
              <w:rPr>
                <w:noProof/>
                <w:kern w:val="2"/>
                <w:lang w:eastAsia="en-CA"/>
                <w14:ligatures w14:val="standardContextual"/>
              </w:rPr>
              <w:tab/>
            </w:r>
            <w:r w:rsidR="005F388A" w:rsidRPr="00E06669">
              <w:rPr>
                <w:rStyle w:val="Hyperlink"/>
                <w:noProof/>
              </w:rPr>
              <w:t>From Overapplication</w:t>
            </w:r>
            <w:r w:rsidR="005F388A">
              <w:rPr>
                <w:noProof/>
                <w:webHidden/>
              </w:rPr>
              <w:tab/>
            </w:r>
            <w:r w:rsidR="005F388A">
              <w:rPr>
                <w:noProof/>
                <w:webHidden/>
              </w:rPr>
              <w:fldChar w:fldCharType="begin"/>
            </w:r>
            <w:r w:rsidR="005F388A">
              <w:rPr>
                <w:noProof/>
                <w:webHidden/>
              </w:rPr>
              <w:instrText xml:space="preserve"> PAGEREF _Toc145431568 \h </w:instrText>
            </w:r>
            <w:r w:rsidR="005F388A">
              <w:rPr>
                <w:noProof/>
                <w:webHidden/>
              </w:rPr>
            </w:r>
            <w:r w:rsidR="005F388A">
              <w:rPr>
                <w:noProof/>
                <w:webHidden/>
              </w:rPr>
              <w:fldChar w:fldCharType="separate"/>
            </w:r>
            <w:r w:rsidR="00F400C9">
              <w:rPr>
                <w:noProof/>
                <w:webHidden/>
              </w:rPr>
              <w:t>5</w:t>
            </w:r>
            <w:r w:rsidR="005F388A">
              <w:rPr>
                <w:noProof/>
                <w:webHidden/>
              </w:rPr>
              <w:fldChar w:fldCharType="end"/>
            </w:r>
          </w:hyperlink>
        </w:p>
        <w:p w14:paraId="1761A990" w14:textId="6FBEF04C" w:rsidR="005F388A" w:rsidRDefault="00000000">
          <w:pPr>
            <w:pStyle w:val="TOC3"/>
            <w:tabs>
              <w:tab w:val="right" w:leader="dot" w:pos="10790"/>
            </w:tabs>
            <w:rPr>
              <w:noProof/>
              <w:kern w:val="2"/>
              <w:lang w:eastAsia="en-CA"/>
              <w14:ligatures w14:val="standardContextual"/>
            </w:rPr>
          </w:pPr>
          <w:hyperlink w:anchor="_Toc145431569" w:history="1">
            <w:r w:rsidR="005F388A" w:rsidRPr="00E06669">
              <w:rPr>
                <w:rStyle w:val="Hyperlink"/>
                <w:noProof/>
              </w:rPr>
              <w:t>- Harms Organic Industry</w:t>
            </w:r>
            <w:r w:rsidR="005F388A">
              <w:rPr>
                <w:noProof/>
                <w:webHidden/>
              </w:rPr>
              <w:tab/>
            </w:r>
            <w:r w:rsidR="005F388A">
              <w:rPr>
                <w:noProof/>
                <w:webHidden/>
              </w:rPr>
              <w:fldChar w:fldCharType="begin"/>
            </w:r>
            <w:r w:rsidR="005F388A">
              <w:rPr>
                <w:noProof/>
                <w:webHidden/>
              </w:rPr>
              <w:instrText xml:space="preserve"> PAGEREF _Toc145431569 \h </w:instrText>
            </w:r>
            <w:r w:rsidR="005F388A">
              <w:rPr>
                <w:noProof/>
                <w:webHidden/>
              </w:rPr>
            </w:r>
            <w:r w:rsidR="005F388A">
              <w:rPr>
                <w:noProof/>
                <w:webHidden/>
              </w:rPr>
              <w:fldChar w:fldCharType="separate"/>
            </w:r>
            <w:r w:rsidR="00F400C9">
              <w:rPr>
                <w:noProof/>
                <w:webHidden/>
              </w:rPr>
              <w:t>5</w:t>
            </w:r>
            <w:r w:rsidR="005F388A">
              <w:rPr>
                <w:noProof/>
                <w:webHidden/>
              </w:rPr>
              <w:fldChar w:fldCharType="end"/>
            </w:r>
          </w:hyperlink>
        </w:p>
        <w:p w14:paraId="18B2AA78" w14:textId="568F3BD4" w:rsidR="005F388A" w:rsidRDefault="00000000">
          <w:pPr>
            <w:pStyle w:val="TOC2"/>
            <w:tabs>
              <w:tab w:val="right" w:leader="dot" w:pos="10790"/>
            </w:tabs>
            <w:rPr>
              <w:noProof/>
              <w:kern w:val="2"/>
              <w:lang w:eastAsia="en-CA"/>
              <w14:ligatures w14:val="standardContextual"/>
            </w:rPr>
          </w:pPr>
          <w:hyperlink w:anchor="_Toc145431570" w:history="1">
            <w:r w:rsidR="005F388A" w:rsidRPr="00E06669">
              <w:rPr>
                <w:rStyle w:val="Hyperlink"/>
                <w:noProof/>
              </w:rPr>
              <w:t>There is no Need for Imposing the Higher MRL</w:t>
            </w:r>
            <w:r w:rsidR="005F388A">
              <w:rPr>
                <w:noProof/>
                <w:webHidden/>
              </w:rPr>
              <w:tab/>
            </w:r>
            <w:r w:rsidR="005F388A">
              <w:rPr>
                <w:noProof/>
                <w:webHidden/>
              </w:rPr>
              <w:fldChar w:fldCharType="begin"/>
            </w:r>
            <w:r w:rsidR="005F388A">
              <w:rPr>
                <w:noProof/>
                <w:webHidden/>
              </w:rPr>
              <w:instrText xml:space="preserve"> PAGEREF _Toc145431570 \h </w:instrText>
            </w:r>
            <w:r w:rsidR="005F388A">
              <w:rPr>
                <w:noProof/>
                <w:webHidden/>
              </w:rPr>
            </w:r>
            <w:r w:rsidR="005F388A">
              <w:rPr>
                <w:noProof/>
                <w:webHidden/>
              </w:rPr>
              <w:fldChar w:fldCharType="separate"/>
            </w:r>
            <w:r w:rsidR="00F400C9">
              <w:rPr>
                <w:noProof/>
                <w:webHidden/>
              </w:rPr>
              <w:t>6</w:t>
            </w:r>
            <w:r w:rsidR="005F388A">
              <w:rPr>
                <w:noProof/>
                <w:webHidden/>
              </w:rPr>
              <w:fldChar w:fldCharType="end"/>
            </w:r>
          </w:hyperlink>
        </w:p>
        <w:p w14:paraId="19427711" w14:textId="53E3FBD7" w:rsidR="005F388A" w:rsidRDefault="00000000">
          <w:pPr>
            <w:pStyle w:val="TOC2"/>
            <w:tabs>
              <w:tab w:val="right" w:leader="dot" w:pos="10790"/>
            </w:tabs>
            <w:rPr>
              <w:noProof/>
              <w:kern w:val="2"/>
              <w:lang w:eastAsia="en-CA"/>
              <w14:ligatures w14:val="standardContextual"/>
            </w:rPr>
          </w:pPr>
          <w:hyperlink w:anchor="_Toc145431571" w:history="1">
            <w:r w:rsidR="005F388A" w:rsidRPr="00E06669">
              <w:rPr>
                <w:rStyle w:val="Hyperlink"/>
                <w:noProof/>
              </w:rPr>
              <w:t>PMRA Insists on Just One MRL</w:t>
            </w:r>
            <w:r w:rsidR="005F388A">
              <w:rPr>
                <w:noProof/>
                <w:webHidden/>
              </w:rPr>
              <w:tab/>
            </w:r>
            <w:r w:rsidR="005F388A">
              <w:rPr>
                <w:noProof/>
                <w:webHidden/>
              </w:rPr>
              <w:fldChar w:fldCharType="begin"/>
            </w:r>
            <w:r w:rsidR="005F388A">
              <w:rPr>
                <w:noProof/>
                <w:webHidden/>
              </w:rPr>
              <w:instrText xml:space="preserve"> PAGEREF _Toc145431571 \h </w:instrText>
            </w:r>
            <w:r w:rsidR="005F388A">
              <w:rPr>
                <w:noProof/>
                <w:webHidden/>
              </w:rPr>
            </w:r>
            <w:r w:rsidR="005F388A">
              <w:rPr>
                <w:noProof/>
                <w:webHidden/>
              </w:rPr>
              <w:fldChar w:fldCharType="separate"/>
            </w:r>
            <w:r w:rsidR="00F400C9">
              <w:rPr>
                <w:noProof/>
                <w:webHidden/>
              </w:rPr>
              <w:t>6</w:t>
            </w:r>
            <w:r w:rsidR="005F388A">
              <w:rPr>
                <w:noProof/>
                <w:webHidden/>
              </w:rPr>
              <w:fldChar w:fldCharType="end"/>
            </w:r>
          </w:hyperlink>
        </w:p>
        <w:p w14:paraId="25DE86DE" w14:textId="2239897D" w:rsidR="005F388A" w:rsidRDefault="00000000">
          <w:pPr>
            <w:pStyle w:val="TOC2"/>
            <w:tabs>
              <w:tab w:val="right" w:leader="dot" w:pos="10790"/>
            </w:tabs>
            <w:rPr>
              <w:noProof/>
              <w:kern w:val="2"/>
              <w:lang w:eastAsia="en-CA"/>
              <w14:ligatures w14:val="standardContextual"/>
            </w:rPr>
          </w:pPr>
          <w:hyperlink w:anchor="_Toc145431572" w:history="1">
            <w:r w:rsidR="005F388A" w:rsidRPr="00E06669">
              <w:rPr>
                <w:rStyle w:val="Hyperlink"/>
                <w:noProof/>
              </w:rPr>
              <w:t>Higher Import MRLs Come From Industry and Bad Science</w:t>
            </w:r>
            <w:r w:rsidR="005F388A">
              <w:rPr>
                <w:noProof/>
                <w:webHidden/>
              </w:rPr>
              <w:tab/>
            </w:r>
            <w:r w:rsidR="005F388A">
              <w:rPr>
                <w:noProof/>
                <w:webHidden/>
              </w:rPr>
              <w:fldChar w:fldCharType="begin"/>
            </w:r>
            <w:r w:rsidR="005F388A">
              <w:rPr>
                <w:noProof/>
                <w:webHidden/>
              </w:rPr>
              <w:instrText xml:space="preserve"> PAGEREF _Toc145431572 \h </w:instrText>
            </w:r>
            <w:r w:rsidR="005F388A">
              <w:rPr>
                <w:noProof/>
                <w:webHidden/>
              </w:rPr>
            </w:r>
            <w:r w:rsidR="005F388A">
              <w:rPr>
                <w:noProof/>
                <w:webHidden/>
              </w:rPr>
              <w:fldChar w:fldCharType="separate"/>
            </w:r>
            <w:r w:rsidR="00F400C9">
              <w:rPr>
                <w:noProof/>
                <w:webHidden/>
              </w:rPr>
              <w:t>7</w:t>
            </w:r>
            <w:r w:rsidR="005F388A">
              <w:rPr>
                <w:noProof/>
                <w:webHidden/>
              </w:rPr>
              <w:fldChar w:fldCharType="end"/>
            </w:r>
          </w:hyperlink>
        </w:p>
        <w:p w14:paraId="64E8B542" w14:textId="32504558" w:rsidR="005F388A" w:rsidRDefault="00000000">
          <w:pPr>
            <w:pStyle w:val="TOC3"/>
            <w:tabs>
              <w:tab w:val="right" w:leader="dot" w:pos="10790"/>
            </w:tabs>
            <w:rPr>
              <w:noProof/>
              <w:kern w:val="2"/>
              <w:lang w:eastAsia="en-CA"/>
              <w14:ligatures w14:val="standardContextual"/>
            </w:rPr>
          </w:pPr>
          <w:hyperlink w:anchor="_Toc145431573" w:history="1">
            <w:r w:rsidR="005F388A" w:rsidRPr="00E06669">
              <w:rPr>
                <w:rStyle w:val="Hyperlink"/>
                <w:noProof/>
              </w:rPr>
              <w:t>Requests from Pesticide Industry</w:t>
            </w:r>
            <w:r w:rsidR="005F388A" w:rsidRPr="00E06669">
              <w:rPr>
                <w:rStyle w:val="Hyperlink"/>
                <w:caps/>
                <w:noProof/>
              </w:rPr>
              <w:t>.</w:t>
            </w:r>
            <w:r w:rsidR="005F388A">
              <w:rPr>
                <w:noProof/>
                <w:webHidden/>
              </w:rPr>
              <w:tab/>
            </w:r>
            <w:r w:rsidR="005F388A">
              <w:rPr>
                <w:noProof/>
                <w:webHidden/>
              </w:rPr>
              <w:fldChar w:fldCharType="begin"/>
            </w:r>
            <w:r w:rsidR="005F388A">
              <w:rPr>
                <w:noProof/>
                <w:webHidden/>
              </w:rPr>
              <w:instrText xml:space="preserve"> PAGEREF _Toc145431573 \h </w:instrText>
            </w:r>
            <w:r w:rsidR="005F388A">
              <w:rPr>
                <w:noProof/>
                <w:webHidden/>
              </w:rPr>
            </w:r>
            <w:r w:rsidR="005F388A">
              <w:rPr>
                <w:noProof/>
                <w:webHidden/>
              </w:rPr>
              <w:fldChar w:fldCharType="separate"/>
            </w:r>
            <w:r w:rsidR="00F400C9">
              <w:rPr>
                <w:noProof/>
                <w:webHidden/>
              </w:rPr>
              <w:t>7</w:t>
            </w:r>
            <w:r w:rsidR="005F388A">
              <w:rPr>
                <w:noProof/>
                <w:webHidden/>
              </w:rPr>
              <w:fldChar w:fldCharType="end"/>
            </w:r>
          </w:hyperlink>
        </w:p>
        <w:p w14:paraId="4E7E912C" w14:textId="0B763C59" w:rsidR="005F388A" w:rsidRDefault="00000000">
          <w:pPr>
            <w:pStyle w:val="TOC3"/>
            <w:tabs>
              <w:tab w:val="right" w:leader="dot" w:pos="10790"/>
            </w:tabs>
            <w:rPr>
              <w:noProof/>
              <w:kern w:val="2"/>
              <w:lang w:eastAsia="en-CA"/>
              <w14:ligatures w14:val="standardContextual"/>
            </w:rPr>
          </w:pPr>
          <w:hyperlink w:anchor="_Toc145431574" w:history="1">
            <w:r w:rsidR="005F388A" w:rsidRPr="00E06669">
              <w:rPr>
                <w:rStyle w:val="Hyperlink"/>
                <w:noProof/>
              </w:rPr>
              <w:t>Different Label Instructions Not Identified.</w:t>
            </w:r>
            <w:r w:rsidR="005F388A">
              <w:rPr>
                <w:noProof/>
                <w:webHidden/>
              </w:rPr>
              <w:tab/>
            </w:r>
            <w:r w:rsidR="005F388A">
              <w:rPr>
                <w:noProof/>
                <w:webHidden/>
              </w:rPr>
              <w:fldChar w:fldCharType="begin"/>
            </w:r>
            <w:r w:rsidR="005F388A">
              <w:rPr>
                <w:noProof/>
                <w:webHidden/>
              </w:rPr>
              <w:instrText xml:space="preserve"> PAGEREF _Toc145431574 \h </w:instrText>
            </w:r>
            <w:r w:rsidR="005F388A">
              <w:rPr>
                <w:noProof/>
                <w:webHidden/>
              </w:rPr>
            </w:r>
            <w:r w:rsidR="005F388A">
              <w:rPr>
                <w:noProof/>
                <w:webHidden/>
              </w:rPr>
              <w:fldChar w:fldCharType="separate"/>
            </w:r>
            <w:r w:rsidR="00F400C9">
              <w:rPr>
                <w:noProof/>
                <w:webHidden/>
              </w:rPr>
              <w:t>7</w:t>
            </w:r>
            <w:r w:rsidR="005F388A">
              <w:rPr>
                <w:noProof/>
                <w:webHidden/>
              </w:rPr>
              <w:fldChar w:fldCharType="end"/>
            </w:r>
          </w:hyperlink>
        </w:p>
        <w:p w14:paraId="689429E9" w14:textId="5D9CC8F1" w:rsidR="005F388A" w:rsidRDefault="00000000">
          <w:pPr>
            <w:pStyle w:val="TOC3"/>
            <w:tabs>
              <w:tab w:val="right" w:leader="dot" w:pos="10790"/>
            </w:tabs>
            <w:rPr>
              <w:noProof/>
              <w:kern w:val="2"/>
              <w:lang w:eastAsia="en-CA"/>
              <w14:ligatures w14:val="standardContextual"/>
            </w:rPr>
          </w:pPr>
          <w:hyperlink w:anchor="_Toc145431575" w:history="1">
            <w:r w:rsidR="005F388A" w:rsidRPr="00E06669">
              <w:rPr>
                <w:rStyle w:val="Hyperlink"/>
                <w:noProof/>
              </w:rPr>
              <w:t>Industry and PMRA Only Look at the Active Ingredient.</w:t>
            </w:r>
            <w:r w:rsidR="005F388A">
              <w:rPr>
                <w:noProof/>
                <w:webHidden/>
              </w:rPr>
              <w:tab/>
            </w:r>
            <w:r w:rsidR="005F388A">
              <w:rPr>
                <w:noProof/>
                <w:webHidden/>
              </w:rPr>
              <w:fldChar w:fldCharType="begin"/>
            </w:r>
            <w:r w:rsidR="005F388A">
              <w:rPr>
                <w:noProof/>
                <w:webHidden/>
              </w:rPr>
              <w:instrText xml:space="preserve"> PAGEREF _Toc145431575 \h </w:instrText>
            </w:r>
            <w:r w:rsidR="005F388A">
              <w:rPr>
                <w:noProof/>
                <w:webHidden/>
              </w:rPr>
            </w:r>
            <w:r w:rsidR="005F388A">
              <w:rPr>
                <w:noProof/>
                <w:webHidden/>
              </w:rPr>
              <w:fldChar w:fldCharType="separate"/>
            </w:r>
            <w:r w:rsidR="00F400C9">
              <w:rPr>
                <w:noProof/>
                <w:webHidden/>
              </w:rPr>
              <w:t>7</w:t>
            </w:r>
            <w:r w:rsidR="005F388A">
              <w:rPr>
                <w:noProof/>
                <w:webHidden/>
              </w:rPr>
              <w:fldChar w:fldCharType="end"/>
            </w:r>
          </w:hyperlink>
        </w:p>
        <w:p w14:paraId="1718C330" w14:textId="3947C5E1" w:rsidR="005F388A" w:rsidRDefault="00000000">
          <w:pPr>
            <w:pStyle w:val="TOC3"/>
            <w:tabs>
              <w:tab w:val="right" w:leader="dot" w:pos="10790"/>
            </w:tabs>
            <w:rPr>
              <w:noProof/>
              <w:kern w:val="2"/>
              <w:lang w:eastAsia="en-CA"/>
              <w14:ligatures w14:val="standardContextual"/>
            </w:rPr>
          </w:pPr>
          <w:hyperlink w:anchor="_Toc145431576" w:history="1">
            <w:r w:rsidR="005F388A" w:rsidRPr="00E06669">
              <w:rPr>
                <w:rStyle w:val="Hyperlink"/>
                <w:noProof/>
              </w:rPr>
              <w:t>Industry Field Trials with Overreaching Confidentiality Claims</w:t>
            </w:r>
            <w:r w:rsidR="005F388A">
              <w:rPr>
                <w:noProof/>
                <w:webHidden/>
              </w:rPr>
              <w:tab/>
            </w:r>
            <w:r w:rsidR="005F388A">
              <w:rPr>
                <w:noProof/>
                <w:webHidden/>
              </w:rPr>
              <w:fldChar w:fldCharType="begin"/>
            </w:r>
            <w:r w:rsidR="005F388A">
              <w:rPr>
                <w:noProof/>
                <w:webHidden/>
              </w:rPr>
              <w:instrText xml:space="preserve"> PAGEREF _Toc145431576 \h </w:instrText>
            </w:r>
            <w:r w:rsidR="005F388A">
              <w:rPr>
                <w:noProof/>
                <w:webHidden/>
              </w:rPr>
            </w:r>
            <w:r w:rsidR="005F388A">
              <w:rPr>
                <w:noProof/>
                <w:webHidden/>
              </w:rPr>
              <w:fldChar w:fldCharType="separate"/>
            </w:r>
            <w:r w:rsidR="00F400C9">
              <w:rPr>
                <w:noProof/>
                <w:webHidden/>
              </w:rPr>
              <w:t>8</w:t>
            </w:r>
            <w:r w:rsidR="005F388A">
              <w:rPr>
                <w:noProof/>
                <w:webHidden/>
              </w:rPr>
              <w:fldChar w:fldCharType="end"/>
            </w:r>
          </w:hyperlink>
        </w:p>
        <w:p w14:paraId="2C04BF5D" w14:textId="53EE69FE" w:rsidR="005F388A" w:rsidRDefault="00000000">
          <w:pPr>
            <w:pStyle w:val="TOC3"/>
            <w:tabs>
              <w:tab w:val="right" w:leader="dot" w:pos="10790"/>
            </w:tabs>
            <w:rPr>
              <w:noProof/>
              <w:kern w:val="2"/>
              <w:lang w:eastAsia="en-CA"/>
              <w14:ligatures w14:val="standardContextual"/>
            </w:rPr>
          </w:pPr>
          <w:hyperlink w:anchor="_Toc145431577" w:history="1">
            <w:r w:rsidR="005F388A" w:rsidRPr="00E06669">
              <w:rPr>
                <w:rStyle w:val="Hyperlink"/>
                <w:noProof/>
              </w:rPr>
              <w:t>OECD Calculator Overestimations.</w:t>
            </w:r>
            <w:r w:rsidR="005F388A">
              <w:rPr>
                <w:noProof/>
                <w:webHidden/>
              </w:rPr>
              <w:tab/>
            </w:r>
            <w:r w:rsidR="005F388A">
              <w:rPr>
                <w:noProof/>
                <w:webHidden/>
              </w:rPr>
              <w:fldChar w:fldCharType="begin"/>
            </w:r>
            <w:r w:rsidR="005F388A">
              <w:rPr>
                <w:noProof/>
                <w:webHidden/>
              </w:rPr>
              <w:instrText xml:space="preserve"> PAGEREF _Toc145431577 \h </w:instrText>
            </w:r>
            <w:r w:rsidR="005F388A">
              <w:rPr>
                <w:noProof/>
                <w:webHidden/>
              </w:rPr>
            </w:r>
            <w:r w:rsidR="005F388A">
              <w:rPr>
                <w:noProof/>
                <w:webHidden/>
              </w:rPr>
              <w:fldChar w:fldCharType="separate"/>
            </w:r>
            <w:r w:rsidR="00F400C9">
              <w:rPr>
                <w:noProof/>
                <w:webHidden/>
              </w:rPr>
              <w:t>9</w:t>
            </w:r>
            <w:r w:rsidR="005F388A">
              <w:rPr>
                <w:noProof/>
                <w:webHidden/>
              </w:rPr>
              <w:fldChar w:fldCharType="end"/>
            </w:r>
          </w:hyperlink>
        </w:p>
        <w:p w14:paraId="4D2E0BBB" w14:textId="4A806E89" w:rsidR="005F388A" w:rsidRDefault="00000000">
          <w:pPr>
            <w:pStyle w:val="TOC2"/>
            <w:tabs>
              <w:tab w:val="right" w:leader="dot" w:pos="10790"/>
            </w:tabs>
            <w:rPr>
              <w:noProof/>
              <w:kern w:val="2"/>
              <w:lang w:eastAsia="en-CA"/>
              <w14:ligatures w14:val="standardContextual"/>
            </w:rPr>
          </w:pPr>
          <w:hyperlink w:anchor="_Toc145431578" w:history="1">
            <w:r w:rsidR="005F388A" w:rsidRPr="00E06669">
              <w:rPr>
                <w:rStyle w:val="Hyperlink"/>
                <w:rFonts w:eastAsia="Times New Roman"/>
                <w:noProof/>
                <w:lang w:eastAsia="en-CA"/>
              </w:rPr>
              <w:t>OECD Process</w:t>
            </w:r>
            <w:r w:rsidR="005F388A">
              <w:rPr>
                <w:noProof/>
                <w:webHidden/>
              </w:rPr>
              <w:tab/>
            </w:r>
            <w:r w:rsidR="005F388A">
              <w:rPr>
                <w:noProof/>
                <w:webHidden/>
              </w:rPr>
              <w:fldChar w:fldCharType="begin"/>
            </w:r>
            <w:r w:rsidR="005F388A">
              <w:rPr>
                <w:noProof/>
                <w:webHidden/>
              </w:rPr>
              <w:instrText xml:space="preserve"> PAGEREF _Toc145431578 \h </w:instrText>
            </w:r>
            <w:r w:rsidR="005F388A">
              <w:rPr>
                <w:noProof/>
                <w:webHidden/>
              </w:rPr>
            </w:r>
            <w:r w:rsidR="005F388A">
              <w:rPr>
                <w:noProof/>
                <w:webHidden/>
              </w:rPr>
              <w:fldChar w:fldCharType="separate"/>
            </w:r>
            <w:r w:rsidR="00F400C9">
              <w:rPr>
                <w:noProof/>
                <w:webHidden/>
              </w:rPr>
              <w:t>9</w:t>
            </w:r>
            <w:r w:rsidR="005F388A">
              <w:rPr>
                <w:noProof/>
                <w:webHidden/>
              </w:rPr>
              <w:fldChar w:fldCharType="end"/>
            </w:r>
          </w:hyperlink>
        </w:p>
        <w:p w14:paraId="7A84E091" w14:textId="4EEA33FF" w:rsidR="005F388A" w:rsidRDefault="00000000">
          <w:pPr>
            <w:pStyle w:val="TOC2"/>
            <w:tabs>
              <w:tab w:val="right" w:leader="dot" w:pos="10790"/>
            </w:tabs>
            <w:rPr>
              <w:noProof/>
              <w:kern w:val="2"/>
              <w:lang w:eastAsia="en-CA"/>
              <w14:ligatures w14:val="standardContextual"/>
            </w:rPr>
          </w:pPr>
          <w:hyperlink w:anchor="_Toc145431579" w:history="1">
            <w:r w:rsidR="005F388A" w:rsidRPr="00E06669">
              <w:rPr>
                <w:rStyle w:val="Hyperlink"/>
                <w:noProof/>
              </w:rPr>
              <w:t>PMRA "Protects the Pest Industry over Canadians"</w:t>
            </w:r>
            <w:r w:rsidR="005F388A">
              <w:rPr>
                <w:noProof/>
                <w:webHidden/>
              </w:rPr>
              <w:tab/>
            </w:r>
            <w:r w:rsidR="005F388A">
              <w:rPr>
                <w:noProof/>
                <w:webHidden/>
              </w:rPr>
              <w:fldChar w:fldCharType="begin"/>
            </w:r>
            <w:r w:rsidR="005F388A">
              <w:rPr>
                <w:noProof/>
                <w:webHidden/>
              </w:rPr>
              <w:instrText xml:space="preserve"> PAGEREF _Toc145431579 \h </w:instrText>
            </w:r>
            <w:r w:rsidR="005F388A">
              <w:rPr>
                <w:noProof/>
                <w:webHidden/>
              </w:rPr>
            </w:r>
            <w:r w:rsidR="005F388A">
              <w:rPr>
                <w:noProof/>
                <w:webHidden/>
              </w:rPr>
              <w:fldChar w:fldCharType="separate"/>
            </w:r>
            <w:r w:rsidR="00F400C9">
              <w:rPr>
                <w:noProof/>
                <w:webHidden/>
              </w:rPr>
              <w:t>9</w:t>
            </w:r>
            <w:r w:rsidR="005F388A">
              <w:rPr>
                <w:noProof/>
                <w:webHidden/>
              </w:rPr>
              <w:fldChar w:fldCharType="end"/>
            </w:r>
          </w:hyperlink>
        </w:p>
        <w:p w14:paraId="695DD98E" w14:textId="56A8207F" w:rsidR="006F6D45" w:rsidRDefault="006F6D45">
          <w:r>
            <w:rPr>
              <w:b/>
              <w:bCs/>
              <w:noProof/>
            </w:rPr>
            <w:fldChar w:fldCharType="end"/>
          </w:r>
        </w:p>
      </w:sdtContent>
    </w:sdt>
    <w:p w14:paraId="3D86EE13" w14:textId="77777777" w:rsidR="006F6D45" w:rsidRDefault="006F6D45">
      <w:pPr>
        <w:rPr>
          <w:rFonts w:asciiTheme="majorHAnsi" w:eastAsiaTheme="majorEastAsia" w:hAnsiTheme="majorHAnsi" w:cstheme="majorBidi"/>
          <w:color w:val="2F5496" w:themeColor="accent1" w:themeShade="BF"/>
          <w:sz w:val="32"/>
          <w:szCs w:val="32"/>
        </w:rPr>
      </w:pPr>
      <w:r>
        <w:br w:type="page"/>
      </w:r>
    </w:p>
    <w:p w14:paraId="526ACD6B" w14:textId="311CEB98" w:rsidR="004B4191" w:rsidRDefault="00B315B9" w:rsidP="004B4191">
      <w:pPr>
        <w:pStyle w:val="Heading2"/>
      </w:pPr>
      <w:bookmarkStart w:id="1" w:name="_Toc145431556"/>
      <w:r>
        <w:lastRenderedPageBreak/>
        <w:t>Introduction</w:t>
      </w:r>
      <w:r w:rsidR="00070F36">
        <w:t xml:space="preserve">: </w:t>
      </w:r>
      <w:r w:rsidR="003E50D4">
        <w:t>What is an MRL</w:t>
      </w:r>
      <w:r w:rsidR="00F11A97">
        <w:t xml:space="preserve"> and an Import MRL</w:t>
      </w:r>
      <w:r w:rsidR="003E50D4">
        <w:t>?</w:t>
      </w:r>
      <w:bookmarkEnd w:id="1"/>
      <w:r w:rsidR="003E50D4">
        <w:t xml:space="preserve"> </w:t>
      </w:r>
      <w:r w:rsidR="004B4191">
        <w:t xml:space="preserve">  </w:t>
      </w:r>
    </w:p>
    <w:p w14:paraId="4BFF1E4E" w14:textId="5918B01B" w:rsidR="003E50D4" w:rsidRDefault="003E50D4" w:rsidP="003E50D4">
      <w:pPr>
        <w:rPr>
          <w:rFonts w:cstheme="minorHAnsi"/>
        </w:rPr>
      </w:pPr>
      <w:r w:rsidRPr="005127AF">
        <w:rPr>
          <w:rFonts w:cstheme="minorHAnsi"/>
        </w:rPr>
        <w:t>- Health Canada is head of the Pest Management Regulatory Agency (</w:t>
      </w:r>
      <w:r w:rsidRPr="00413680">
        <w:rPr>
          <w:rFonts w:cstheme="minorHAnsi"/>
          <w:b/>
          <w:bCs/>
        </w:rPr>
        <w:t>PMRA</w:t>
      </w:r>
      <w:r w:rsidRPr="005127AF">
        <w:rPr>
          <w:rFonts w:cstheme="minorHAnsi"/>
        </w:rPr>
        <w:t xml:space="preserve">), who regulates </w:t>
      </w:r>
      <w:r w:rsidR="00413680">
        <w:rPr>
          <w:rFonts w:cstheme="minorHAnsi"/>
        </w:rPr>
        <w:t xml:space="preserve">pest control products, commonly known as pesticides, </w:t>
      </w:r>
      <w:r w:rsidRPr="005127AF">
        <w:rPr>
          <w:rFonts w:cstheme="minorHAnsi"/>
        </w:rPr>
        <w:t xml:space="preserve">under the </w:t>
      </w:r>
      <w:hyperlink r:id="rId8" w:history="1">
        <w:r w:rsidRPr="005127AF">
          <w:rPr>
            <w:rStyle w:val="Hyperlink"/>
            <w:rFonts w:cstheme="minorHAnsi"/>
            <w:color w:val="auto"/>
          </w:rPr>
          <w:t>Pest Control Products Act</w:t>
        </w:r>
      </w:hyperlink>
      <w:r w:rsidRPr="005127AF">
        <w:rPr>
          <w:rFonts w:cstheme="minorHAnsi"/>
        </w:rPr>
        <w:t xml:space="preserve"> (the </w:t>
      </w:r>
      <w:r w:rsidRPr="00070F36">
        <w:rPr>
          <w:rFonts w:cstheme="minorHAnsi"/>
          <w:b/>
          <w:bCs/>
        </w:rPr>
        <w:t>PCPA</w:t>
      </w:r>
      <w:r w:rsidRPr="005127AF">
        <w:rPr>
          <w:rFonts w:cstheme="minorHAnsi"/>
        </w:rPr>
        <w:t xml:space="preserve"> or the </w:t>
      </w:r>
      <w:r w:rsidRPr="00070F36">
        <w:rPr>
          <w:rFonts w:cstheme="minorHAnsi"/>
          <w:b/>
          <w:bCs/>
        </w:rPr>
        <w:t>Act</w:t>
      </w:r>
      <w:r w:rsidRPr="005127AF">
        <w:rPr>
          <w:rFonts w:cstheme="minorHAnsi"/>
        </w:rPr>
        <w:t>).</w:t>
      </w:r>
    </w:p>
    <w:p w14:paraId="6AC101B9" w14:textId="43FCA02C" w:rsidR="009C23A1" w:rsidRDefault="003E50D4" w:rsidP="003E50D4">
      <w:r>
        <w:rPr>
          <w:rFonts w:cstheme="minorHAnsi"/>
        </w:rPr>
        <w:t>- Sections 9, 10 and 11 of the Act deal with Maximum Residue Limits (</w:t>
      </w:r>
      <w:r w:rsidRPr="00070F36">
        <w:rPr>
          <w:rFonts w:cstheme="minorHAnsi"/>
          <w:b/>
          <w:bCs/>
        </w:rPr>
        <w:t>MRLs</w:t>
      </w:r>
      <w:r>
        <w:rPr>
          <w:rFonts w:cstheme="minorHAnsi"/>
        </w:rPr>
        <w:t>).  No definition</w:t>
      </w:r>
      <w:r w:rsidR="009C23A1">
        <w:rPr>
          <w:rFonts w:cstheme="minorHAnsi"/>
        </w:rPr>
        <w:t xml:space="preserve"> of an MRL </w:t>
      </w:r>
      <w:r>
        <w:rPr>
          <w:rFonts w:cstheme="minorHAnsi"/>
        </w:rPr>
        <w:t xml:space="preserve"> is provided</w:t>
      </w:r>
      <w:r w:rsidR="009C23A1">
        <w:rPr>
          <w:rFonts w:cstheme="minorHAnsi"/>
        </w:rPr>
        <w:t xml:space="preserve"> in the Act, but PMRA </w:t>
      </w:r>
      <w:hyperlink r:id="rId9" w:history="1">
        <w:r w:rsidR="009C23A1" w:rsidRPr="00FA3D04">
          <w:rPr>
            <w:rStyle w:val="Hyperlink"/>
          </w:rPr>
          <w:t>defin</w:t>
        </w:r>
        <w:r w:rsidR="009C23A1">
          <w:rPr>
            <w:rStyle w:val="Hyperlink"/>
          </w:rPr>
          <w:t>es</w:t>
        </w:r>
      </w:hyperlink>
      <w:r w:rsidR="009C23A1">
        <w:t xml:space="preserve"> it </w:t>
      </w:r>
      <w:r w:rsidR="00B969ED">
        <w:t xml:space="preserve">with </w:t>
      </w:r>
      <w:r w:rsidR="009C23A1">
        <w:t xml:space="preserve">reference to the levels of residue of pesticides that result from following label directions: </w:t>
      </w:r>
    </w:p>
    <w:p w14:paraId="5C4E6DBA" w14:textId="77777777" w:rsidR="009C23A1" w:rsidRDefault="009C23A1" w:rsidP="009C23A1">
      <w:pPr>
        <w:ind w:left="720"/>
      </w:pPr>
      <w:r>
        <w:t>"</w:t>
      </w:r>
      <w:r w:rsidRPr="005127AF">
        <w:t xml:space="preserve">the highest amount of pesticide residue that may [is allowed to] remain on or in food when a pesticide is used according to label directions". </w:t>
      </w:r>
    </w:p>
    <w:p w14:paraId="539CAF2B" w14:textId="77777777" w:rsidR="00B315B9" w:rsidRDefault="009C23A1" w:rsidP="009C23A1">
      <w:r w:rsidRPr="005127AF">
        <w:t xml:space="preserve">Label directions concern spraying - the rate and quantities of pesticides that are sprayed on </w:t>
      </w:r>
      <w:r w:rsidR="00B969ED">
        <w:t>crops.</w:t>
      </w:r>
    </w:p>
    <w:p w14:paraId="1F73F583" w14:textId="367FDECA" w:rsidR="009C23A1" w:rsidRPr="005127AF" w:rsidRDefault="00070F36" w:rsidP="009C23A1">
      <w:r>
        <w:t xml:space="preserve">An </w:t>
      </w:r>
      <w:r w:rsidR="00B315B9">
        <w:t>"</w:t>
      </w:r>
      <w:r w:rsidR="00B315B9" w:rsidRPr="00160D0C">
        <w:rPr>
          <w:b/>
          <w:bCs/>
        </w:rPr>
        <w:t>Import MRL</w:t>
      </w:r>
      <w:r w:rsidR="00B315B9">
        <w:t xml:space="preserve">" is </w:t>
      </w:r>
      <w:r>
        <w:t xml:space="preserve">understood as the highest amount of pesticide residue </w:t>
      </w:r>
      <w:r w:rsidR="004B627C">
        <w:t xml:space="preserve">that is legally permitted </w:t>
      </w:r>
      <w:r>
        <w:t xml:space="preserve">to remain </w:t>
      </w:r>
      <w:r w:rsidR="004B627C">
        <w:t xml:space="preserve">on </w:t>
      </w:r>
      <w:r>
        <w:t xml:space="preserve">a </w:t>
      </w:r>
      <w:r w:rsidR="004B627C">
        <w:t>fo</w:t>
      </w:r>
      <w:r>
        <w:t>o</w:t>
      </w:r>
      <w:r w:rsidR="004B627C">
        <w:t xml:space="preserve">d in a jurisdiction </w:t>
      </w:r>
      <w:r>
        <w:t xml:space="preserve">other than Canada where that food is </w:t>
      </w:r>
      <w:r w:rsidR="004B627C">
        <w:t xml:space="preserve">imported into Canada. </w:t>
      </w:r>
    </w:p>
    <w:p w14:paraId="4D56B389" w14:textId="6970B230" w:rsidR="00B969ED" w:rsidRPr="002008E2" w:rsidRDefault="002008E2" w:rsidP="002008E2">
      <w:pPr>
        <w:pStyle w:val="Heading2"/>
      </w:pPr>
      <w:bookmarkStart w:id="2" w:name="_Toc145431557"/>
      <w:r w:rsidRPr="002008E2">
        <w:t xml:space="preserve">No </w:t>
      </w:r>
      <w:r w:rsidR="00B969ED" w:rsidRPr="002008E2">
        <w:t xml:space="preserve">Jurisdiction </w:t>
      </w:r>
      <w:r w:rsidRPr="002008E2">
        <w:t>to Approve or Import MRLs</w:t>
      </w:r>
      <w:bookmarkEnd w:id="2"/>
    </w:p>
    <w:p w14:paraId="31DC7C8D" w14:textId="77777777" w:rsidR="00EE581B" w:rsidRDefault="00874D79" w:rsidP="003E50D4">
      <w:r>
        <w:t xml:space="preserve">- </w:t>
      </w:r>
      <w:r w:rsidR="00010BFD">
        <w:t xml:space="preserve">Section 6 of the Act indicates that a pest control product cannot be imported or used unless it has been registered or authorized under the Act. </w:t>
      </w:r>
    </w:p>
    <w:p w14:paraId="335CB4EA" w14:textId="19A0D631" w:rsidR="00B969ED" w:rsidRDefault="00EE581B" w:rsidP="003E50D4">
      <w:r>
        <w:t xml:space="preserve">- </w:t>
      </w:r>
      <w:r w:rsidR="00010BFD">
        <w:t>With respect to MRLs for pest control products, the</w:t>
      </w:r>
      <w:r w:rsidR="00413680">
        <w:t xml:space="preserve"> Act contemplates </w:t>
      </w:r>
      <w:r w:rsidR="00010BFD">
        <w:t>two scenarios:  specifying an MRL</w:t>
      </w:r>
      <w:r w:rsidR="003E50D4">
        <w:t xml:space="preserve"> when the Minister is "making a decision regarding the registration of a pest control product"</w:t>
      </w:r>
      <w:r w:rsidR="00010BFD">
        <w:t xml:space="preserve"> (Section 9), and specifying an MRL with respect to uses that </w:t>
      </w:r>
      <w:r w:rsidR="009C23A1">
        <w:t>have not been registered</w:t>
      </w:r>
      <w:r w:rsidR="00010BFD">
        <w:t xml:space="preserve"> (Section 10)</w:t>
      </w:r>
      <w:r w:rsidR="009C23A1">
        <w:t>.</w:t>
      </w:r>
      <w:r w:rsidR="00B87757">
        <w:t xml:space="preserve"> </w:t>
      </w:r>
      <w:r w:rsidR="00010BFD">
        <w:t>It follows that, with respect to a Section 10 MRL</w:t>
      </w:r>
      <w:r w:rsidR="00B87757">
        <w:t xml:space="preserve"> and because of section 6, a Section 10 </w:t>
      </w:r>
      <w:r w:rsidR="00010BFD">
        <w:t>MRL</w:t>
      </w:r>
      <w:r w:rsidR="00B87757">
        <w:t xml:space="preserve"> use</w:t>
      </w:r>
      <w:r w:rsidR="00010BFD">
        <w:t xml:space="preserve"> has to be authorized under the Act. </w:t>
      </w:r>
      <w:r w:rsidR="009C23A1">
        <w:t xml:space="preserve"> </w:t>
      </w:r>
    </w:p>
    <w:p w14:paraId="2DD8B6CE" w14:textId="56D767C3" w:rsidR="008020D1" w:rsidRDefault="008020D1" w:rsidP="003E50D4">
      <w:r>
        <w:t>- PMRA takes the view</w:t>
      </w:r>
      <w:r w:rsidR="00792C1B">
        <w:t xml:space="preserve"> it</w:t>
      </w:r>
      <w:r>
        <w:t xml:space="preserve"> has the authority </w:t>
      </w:r>
      <w:r w:rsidR="00792C1B">
        <w:t xml:space="preserve">under Section 10 </w:t>
      </w:r>
      <w:r w:rsidR="00A91A0D">
        <w:t xml:space="preserve">to approve uses and use patterns approved in other countries (a </w:t>
      </w:r>
      <w:r w:rsidR="00A91A0D" w:rsidRPr="00DC4B8F">
        <w:rPr>
          <w:b/>
          <w:bCs/>
        </w:rPr>
        <w:t>"Foreign Use"</w:t>
      </w:r>
      <w:r w:rsidR="00A91A0D">
        <w:t>):</w:t>
      </w:r>
    </w:p>
    <w:p w14:paraId="33AD981A" w14:textId="7B09A82D" w:rsidR="00A91A0D" w:rsidRDefault="00A91A0D" w:rsidP="00A91A0D">
      <w:pPr>
        <w:ind w:left="720"/>
      </w:pPr>
      <w:r>
        <w:t>"</w:t>
      </w:r>
      <w:r w:rsidRPr="00EE581B">
        <w:rPr>
          <w:i/>
          <w:iCs/>
        </w:rPr>
        <w:t>Authority exists to specify MRLs for unregistered products and uses - that is, uses including different use patterns, in other countries that are not registered in Canada - in accordance with sections 10 and 11 of the Pest Control Products Act (PCPA).PMRA receives these applications under s.10 of the PCPA. As such, PMRA may specify MRLs for imported foods that are treated with pesticides approved in other countries, or for pesticides with a Canadian registration, but for a different use/use pattern that is not approved in Canada</w:t>
      </w:r>
      <w:r w:rsidRPr="00A91A0D">
        <w:t>.</w:t>
      </w:r>
      <w:r>
        <w:t>" (Email exchange with PMRA representative July 7, 2023).</w:t>
      </w:r>
    </w:p>
    <w:p w14:paraId="7D249138" w14:textId="5BAC41C9" w:rsidR="00045C1C" w:rsidRDefault="00874D79" w:rsidP="003E50D4">
      <w:r>
        <w:t xml:space="preserve">- </w:t>
      </w:r>
      <w:r w:rsidR="00B87757">
        <w:t xml:space="preserve">The Act </w:t>
      </w:r>
      <w:r w:rsidR="001A6622">
        <w:t xml:space="preserve">allows </w:t>
      </w:r>
      <w:r w:rsidR="00B87757">
        <w:t xml:space="preserve">authorizations </w:t>
      </w:r>
      <w:r w:rsidR="001A6622">
        <w:t xml:space="preserve">under </w:t>
      </w:r>
      <w:r w:rsidR="00B87757">
        <w:t xml:space="preserve">sections 41(1), </w:t>
      </w:r>
      <w:r w:rsidR="001A6622">
        <w:t xml:space="preserve">21(5), 48, 51 and 53-59 and the Regulations. </w:t>
      </w:r>
      <w:r w:rsidR="001A6622" w:rsidRPr="003D79ED">
        <w:rPr>
          <w:b/>
          <w:bCs/>
        </w:rPr>
        <w:t>None of these</w:t>
      </w:r>
      <w:r w:rsidR="00045C1C" w:rsidRPr="003D79ED">
        <w:rPr>
          <w:b/>
          <w:bCs/>
        </w:rPr>
        <w:t xml:space="preserve"> provisions contemplate authorizing a </w:t>
      </w:r>
      <w:r w:rsidR="00A91A0D" w:rsidRPr="003D79ED">
        <w:rPr>
          <w:b/>
          <w:bCs/>
        </w:rPr>
        <w:t>F</w:t>
      </w:r>
      <w:r w:rsidR="00045C1C" w:rsidRPr="003D79ED">
        <w:rPr>
          <w:b/>
          <w:bCs/>
        </w:rPr>
        <w:t xml:space="preserve">oreign </w:t>
      </w:r>
      <w:r w:rsidR="00792C1B" w:rsidRPr="003D79ED">
        <w:rPr>
          <w:b/>
          <w:bCs/>
        </w:rPr>
        <w:t>U</w:t>
      </w:r>
      <w:r w:rsidR="00045C1C" w:rsidRPr="003D79ED">
        <w:rPr>
          <w:b/>
          <w:bCs/>
        </w:rPr>
        <w:t>se</w:t>
      </w:r>
      <w:r w:rsidR="00962A28" w:rsidRPr="003D79ED">
        <w:rPr>
          <w:b/>
          <w:bCs/>
        </w:rPr>
        <w:t>.</w:t>
      </w:r>
      <w:r w:rsidR="00962A28">
        <w:t xml:space="preserve">  This means that </w:t>
      </w:r>
      <w:r w:rsidR="00045C1C">
        <w:t xml:space="preserve">PMRA's </w:t>
      </w:r>
      <w:r w:rsidR="00687575">
        <w:t xml:space="preserve">approval of the use of </w:t>
      </w:r>
      <w:r w:rsidR="00045C1C">
        <w:t>Import MRL</w:t>
      </w:r>
      <w:r w:rsidR="00687575">
        <w:t>s in Canada</w:t>
      </w:r>
      <w:r w:rsidR="00987B41">
        <w:t xml:space="preserve"> on the basis that is use permitted outside of Canada/ a </w:t>
      </w:r>
      <w:r w:rsidR="00792C1B">
        <w:t>F</w:t>
      </w:r>
      <w:r w:rsidR="00987B41">
        <w:t xml:space="preserve">oreign </w:t>
      </w:r>
      <w:r w:rsidR="00792C1B">
        <w:t>U</w:t>
      </w:r>
      <w:r w:rsidR="00987B41">
        <w:t>se,</w:t>
      </w:r>
      <w:r w:rsidR="00687575">
        <w:t xml:space="preserve"> is </w:t>
      </w:r>
      <w:r w:rsidR="00687575" w:rsidRPr="00874D79">
        <w:rPr>
          <w:b/>
          <w:bCs/>
          <w:i/>
          <w:iCs/>
        </w:rPr>
        <w:t>ultra vires</w:t>
      </w:r>
      <w:r w:rsidR="00987B41" w:rsidRPr="00874D79">
        <w:rPr>
          <w:b/>
          <w:bCs/>
          <w:i/>
          <w:iCs/>
        </w:rPr>
        <w:t xml:space="preserve"> </w:t>
      </w:r>
      <w:r w:rsidR="00987B41" w:rsidRPr="00874D79">
        <w:rPr>
          <w:b/>
          <w:bCs/>
        </w:rPr>
        <w:t>and</w:t>
      </w:r>
      <w:r w:rsidR="00687575" w:rsidRPr="00874D79">
        <w:rPr>
          <w:b/>
          <w:bCs/>
        </w:rPr>
        <w:t xml:space="preserve"> without jurisdiction</w:t>
      </w:r>
      <w:r>
        <w:t xml:space="preserve">. </w:t>
      </w:r>
      <w:r w:rsidR="00962A28">
        <w:t xml:space="preserve"> </w:t>
      </w:r>
      <w:r w:rsidR="00212B67">
        <w:t>In other words, i</w:t>
      </w:r>
      <w:r w:rsidR="00687575">
        <w:t xml:space="preserve">t is illegal. </w:t>
      </w:r>
    </w:p>
    <w:p w14:paraId="1A7FC492" w14:textId="4C97D83B" w:rsidR="00EA762F" w:rsidRPr="00687575" w:rsidRDefault="00EA762F" w:rsidP="00EA762F">
      <w:pPr>
        <w:pStyle w:val="Heading2"/>
      </w:pPr>
      <w:bookmarkStart w:id="3" w:name="_Toc145431558"/>
      <w:r>
        <w:t>Context</w:t>
      </w:r>
      <w:r w:rsidR="00F11A97">
        <w:t>: Government Paused and is Now Increasing MRLs</w:t>
      </w:r>
      <w:bookmarkEnd w:id="3"/>
    </w:p>
    <w:p w14:paraId="07D9140E" w14:textId="7034BAB2" w:rsidR="009C23A1" w:rsidRPr="00B63DC8" w:rsidRDefault="00B969ED" w:rsidP="00B63DC8">
      <w:pPr>
        <w:pStyle w:val="Heading4"/>
      </w:pPr>
      <w:bookmarkStart w:id="4" w:name="_Toc145431559"/>
      <w:r w:rsidRPr="00B63DC8">
        <w:rPr>
          <w:rStyle w:val="Heading3Char"/>
          <w:sz w:val="24"/>
          <w:szCs w:val="24"/>
        </w:rPr>
        <w:t>2021 Proposal to Increase Glyphosate Levels in lentils, bea</w:t>
      </w:r>
      <w:r w:rsidR="00DF62B2" w:rsidRPr="00B63DC8">
        <w:rPr>
          <w:rStyle w:val="Heading3Char"/>
          <w:sz w:val="24"/>
          <w:szCs w:val="24"/>
        </w:rPr>
        <w:t>n</w:t>
      </w:r>
      <w:r w:rsidRPr="00B63DC8">
        <w:rPr>
          <w:rStyle w:val="Heading3Char"/>
          <w:sz w:val="24"/>
          <w:szCs w:val="24"/>
        </w:rPr>
        <w:t>s/peas</w:t>
      </w:r>
      <w:bookmarkStart w:id="5" w:name="_Hlk144301841"/>
      <w:bookmarkEnd w:id="4"/>
      <w:r w:rsidR="009C23A1" w:rsidRPr="00B63DC8">
        <w:t xml:space="preserve"> </w:t>
      </w:r>
    </w:p>
    <w:p w14:paraId="71C9880A" w14:textId="7735FEFD" w:rsidR="00B969ED" w:rsidRDefault="003E50D4" w:rsidP="00B969ED">
      <w:pPr>
        <w:rPr>
          <w:rFonts w:cstheme="minorHAnsi"/>
        </w:rPr>
      </w:pPr>
      <w:r>
        <w:t xml:space="preserve"> </w:t>
      </w:r>
      <w:r>
        <w:rPr>
          <w:rFonts w:cstheme="minorHAnsi"/>
        </w:rPr>
        <w:t xml:space="preserve"> - </w:t>
      </w:r>
      <w:r w:rsidR="00BA7F3B" w:rsidRPr="005127AF">
        <w:rPr>
          <w:rFonts w:cstheme="minorHAnsi"/>
        </w:rPr>
        <w:t xml:space="preserve">In Summer 2021, </w:t>
      </w:r>
      <w:r w:rsidR="00B969ED">
        <w:rPr>
          <w:rFonts w:cstheme="minorHAnsi"/>
        </w:rPr>
        <w:t xml:space="preserve">PMRA issued </w:t>
      </w:r>
      <w:hyperlink r:id="rId10" w:history="1">
        <w:r w:rsidR="00B969ED" w:rsidRPr="005127AF">
          <w:rPr>
            <w:rStyle w:val="Hyperlink"/>
            <w:rFonts w:cstheme="minorHAnsi"/>
            <w:color w:val="auto"/>
          </w:rPr>
          <w:t>proposal</w:t>
        </w:r>
      </w:hyperlink>
      <w:r w:rsidR="00EE581B">
        <w:rPr>
          <w:rStyle w:val="Hyperlink"/>
          <w:rFonts w:cstheme="minorHAnsi"/>
          <w:color w:val="auto"/>
        </w:rPr>
        <w:t xml:space="preserve"> </w:t>
      </w:r>
      <w:r w:rsidR="00EE581B" w:rsidRPr="00EE581B">
        <w:rPr>
          <w:rStyle w:val="Hyperlink"/>
          <w:rFonts w:cstheme="minorHAnsi"/>
          <w:color w:val="auto"/>
          <w:u w:val="none"/>
        </w:rPr>
        <w:t>PMR</w:t>
      </w:r>
      <w:r w:rsidR="00EE581B">
        <w:rPr>
          <w:rStyle w:val="Hyperlink"/>
          <w:rFonts w:cstheme="minorHAnsi"/>
          <w:color w:val="auto"/>
          <w:u w:val="none"/>
        </w:rPr>
        <w:t>L</w:t>
      </w:r>
      <w:r w:rsidR="00EE581B" w:rsidRPr="00EE581B">
        <w:rPr>
          <w:rStyle w:val="Hyperlink"/>
          <w:rFonts w:cstheme="minorHAnsi"/>
          <w:color w:val="auto"/>
          <w:u w:val="none"/>
        </w:rPr>
        <w:t xml:space="preserve"> 2021-10</w:t>
      </w:r>
      <w:r w:rsidR="00B969ED" w:rsidRPr="005127AF">
        <w:rPr>
          <w:rFonts w:cstheme="minorHAnsi"/>
        </w:rPr>
        <w:t xml:space="preserve"> to increase the MRLs for glyphosate allowed on lentils and beans/peas by 3 and 4 fold</w:t>
      </w:r>
      <w:r w:rsidR="00EE581B">
        <w:rPr>
          <w:rFonts w:cstheme="minorHAnsi"/>
        </w:rPr>
        <w:t xml:space="preserve"> (</w:t>
      </w:r>
      <w:r w:rsidR="00EE581B" w:rsidRPr="00EE581B">
        <w:rPr>
          <w:rFonts w:cstheme="minorHAnsi"/>
          <w:b/>
          <w:bCs/>
        </w:rPr>
        <w:t>Glyphosate Proposal</w:t>
      </w:r>
      <w:r w:rsidR="00EE581B">
        <w:rPr>
          <w:rFonts w:cstheme="minorHAnsi"/>
        </w:rPr>
        <w:t>)</w:t>
      </w:r>
      <w:r w:rsidR="00B969ED" w:rsidRPr="005127AF">
        <w:rPr>
          <w:rFonts w:cstheme="minorHAnsi"/>
        </w:rPr>
        <w:t xml:space="preserve">. </w:t>
      </w:r>
      <w:r w:rsidR="002951AF">
        <w:rPr>
          <w:rFonts w:cstheme="minorHAnsi"/>
        </w:rPr>
        <w:t xml:space="preserve">It </w:t>
      </w:r>
      <w:r w:rsidR="00874D79">
        <w:rPr>
          <w:rFonts w:cstheme="minorHAnsi"/>
        </w:rPr>
        <w:t xml:space="preserve">purportedly </w:t>
      </w:r>
      <w:r w:rsidR="002951AF">
        <w:rPr>
          <w:rFonts w:cstheme="minorHAnsi"/>
        </w:rPr>
        <w:t xml:space="preserve">requested the increase pursuant to </w:t>
      </w:r>
      <w:r w:rsidR="00874D79">
        <w:rPr>
          <w:rFonts w:cstheme="minorHAnsi"/>
        </w:rPr>
        <w:t>sub</w:t>
      </w:r>
      <w:r w:rsidR="002951AF">
        <w:rPr>
          <w:rFonts w:cstheme="minorHAnsi"/>
        </w:rPr>
        <w:t xml:space="preserve">section </w:t>
      </w:r>
      <w:r w:rsidR="00874D79">
        <w:rPr>
          <w:rFonts w:cstheme="minorHAnsi"/>
        </w:rPr>
        <w:t>10(2)</w:t>
      </w:r>
      <w:r w:rsidR="002951AF">
        <w:rPr>
          <w:rFonts w:cstheme="minorHAnsi"/>
        </w:rPr>
        <w:t xml:space="preserve"> of the Act, which allows "</w:t>
      </w:r>
      <w:r w:rsidR="00874D79">
        <w:t>a</w:t>
      </w:r>
      <w:r w:rsidR="00874D79" w:rsidRPr="00874D79">
        <w:rPr>
          <w:rFonts w:cstheme="minorHAnsi"/>
        </w:rPr>
        <w:t>ny person</w:t>
      </w:r>
      <w:r w:rsidR="00874D79">
        <w:rPr>
          <w:rFonts w:cstheme="minorHAnsi"/>
        </w:rPr>
        <w:t>" to "</w:t>
      </w:r>
      <w:r w:rsidR="00874D79" w:rsidRPr="00874D79">
        <w:rPr>
          <w:rFonts w:cstheme="minorHAnsi"/>
        </w:rPr>
        <w:t>make an application to the Minister to specify maximum residue limits</w:t>
      </w:r>
      <w:r w:rsidR="00874D79">
        <w:rPr>
          <w:rFonts w:cstheme="minorHAnsi"/>
        </w:rPr>
        <w:t>"</w:t>
      </w:r>
      <w:r w:rsidR="00874D79" w:rsidRPr="00874D79">
        <w:rPr>
          <w:rFonts w:cstheme="minorHAnsi"/>
        </w:rPr>
        <w:t xml:space="preserve"> pursuant to subsection </w:t>
      </w:r>
      <w:r w:rsidR="00874D79">
        <w:rPr>
          <w:rFonts w:cstheme="minorHAnsi"/>
        </w:rPr>
        <w:t>10</w:t>
      </w:r>
      <w:r w:rsidR="00874D79" w:rsidRPr="00874D79">
        <w:rPr>
          <w:rFonts w:cstheme="minorHAnsi"/>
        </w:rPr>
        <w:t>(1)</w:t>
      </w:r>
      <w:r w:rsidR="00874D79">
        <w:rPr>
          <w:rFonts w:cstheme="minorHAnsi"/>
        </w:rPr>
        <w:t xml:space="preserve">, for either of the two scenarios contemplated above. </w:t>
      </w:r>
      <w:r w:rsidR="00503DA1">
        <w:rPr>
          <w:rFonts w:cstheme="minorHAnsi"/>
        </w:rPr>
        <w:t xml:space="preserve">The proposal was to establish MRLs for glyphosate and its metabolite AMPA on imported dry peas and dry beans from the United States (Evaluation Report, PMRA #3161627).  </w:t>
      </w:r>
      <w:r w:rsidR="00EE581B">
        <w:rPr>
          <w:rFonts w:cstheme="minorHAnsi"/>
        </w:rPr>
        <w:t>(</w:t>
      </w:r>
      <w:r w:rsidR="00503DA1">
        <w:rPr>
          <w:rFonts w:cstheme="minorHAnsi"/>
        </w:rPr>
        <w:t xml:space="preserve">As stated, </w:t>
      </w:r>
      <w:r w:rsidR="00EE581B">
        <w:rPr>
          <w:rFonts w:cstheme="minorHAnsi"/>
        </w:rPr>
        <w:t xml:space="preserve">it is our view </w:t>
      </w:r>
      <w:r w:rsidR="00503DA1">
        <w:rPr>
          <w:rFonts w:cstheme="minorHAnsi"/>
        </w:rPr>
        <w:t>there is no authority to apply for an Import MRL under the Act.</w:t>
      </w:r>
      <w:r w:rsidR="00EE581B">
        <w:rPr>
          <w:rFonts w:cstheme="minorHAnsi"/>
        </w:rPr>
        <w:t>)</w:t>
      </w:r>
      <w:r w:rsidR="00503DA1">
        <w:rPr>
          <w:rFonts w:cstheme="minorHAnsi"/>
        </w:rPr>
        <w:t xml:space="preserve"> </w:t>
      </w:r>
    </w:p>
    <w:p w14:paraId="6AB713DA" w14:textId="040E30A9" w:rsidR="00AC08BB" w:rsidRDefault="00EE581B" w:rsidP="00BA7F3B">
      <w:pPr>
        <w:rPr>
          <w:rFonts w:cstheme="minorHAnsi"/>
        </w:rPr>
      </w:pPr>
      <w:bookmarkStart w:id="6" w:name="_Hlk144301888"/>
      <w:bookmarkEnd w:id="5"/>
      <w:r>
        <w:rPr>
          <w:rFonts w:cstheme="minorHAnsi"/>
        </w:rPr>
        <w:lastRenderedPageBreak/>
        <w:t xml:space="preserve">- </w:t>
      </w:r>
      <w:r w:rsidR="00AC08BB">
        <w:rPr>
          <w:rFonts w:cstheme="minorHAnsi"/>
        </w:rPr>
        <w:t xml:space="preserve">There was huge public outcry to the Proposal, and it was just before the 2021 federal election, which occurred in September, 2021.  </w:t>
      </w:r>
    </w:p>
    <w:p w14:paraId="35681393" w14:textId="5102B709" w:rsidR="00B969ED" w:rsidRPr="00B63DC8" w:rsidRDefault="00B969ED" w:rsidP="00B63DC8">
      <w:pPr>
        <w:pStyle w:val="Heading3"/>
        <w:rPr>
          <w:sz w:val="24"/>
          <w:szCs w:val="24"/>
        </w:rPr>
      </w:pPr>
      <w:bookmarkStart w:id="7" w:name="_Toc145431560"/>
      <w:r w:rsidRPr="00B63DC8">
        <w:rPr>
          <w:sz w:val="24"/>
          <w:szCs w:val="24"/>
        </w:rPr>
        <w:t>Pause</w:t>
      </w:r>
      <w:bookmarkEnd w:id="7"/>
    </w:p>
    <w:p w14:paraId="53B34BDC" w14:textId="77777777" w:rsidR="002008E2" w:rsidRDefault="002008E2" w:rsidP="00BA7F3B">
      <w:pPr>
        <w:rPr>
          <w:rFonts w:cstheme="minorHAnsi"/>
        </w:rPr>
      </w:pPr>
      <w:r>
        <w:rPr>
          <w:rFonts w:cstheme="minorHAnsi"/>
        </w:rPr>
        <w:t xml:space="preserve">- </w:t>
      </w:r>
      <w:r w:rsidR="002951AF">
        <w:rPr>
          <w:rFonts w:cstheme="minorHAnsi"/>
        </w:rPr>
        <w:t>On August 4, 2021, t</w:t>
      </w:r>
      <w:r w:rsidR="00BA7F3B" w:rsidRPr="005127AF">
        <w:rPr>
          <w:rFonts w:cstheme="minorHAnsi"/>
        </w:rPr>
        <w:t>he government</w:t>
      </w:r>
      <w:hyperlink r:id="rId11" w:history="1">
        <w:r w:rsidR="00BA7F3B" w:rsidRPr="005127AF">
          <w:rPr>
            <w:rStyle w:val="Hyperlink"/>
            <w:rFonts w:cstheme="minorHAnsi"/>
            <w:color w:val="auto"/>
          </w:rPr>
          <w:t> </w:t>
        </w:r>
        <w:r w:rsidR="002951AF">
          <w:rPr>
            <w:rStyle w:val="Hyperlink"/>
            <w:rFonts w:cstheme="minorHAnsi"/>
            <w:color w:val="auto"/>
          </w:rPr>
          <w:t xml:space="preserve">announced </w:t>
        </w:r>
      </w:hyperlink>
      <w:r w:rsidR="00BA7F3B" w:rsidRPr="005127AF">
        <w:rPr>
          <w:rFonts w:cstheme="minorHAnsi"/>
        </w:rPr>
        <w:t> </w:t>
      </w:r>
      <w:r w:rsidR="002951AF">
        <w:rPr>
          <w:rFonts w:cstheme="minorHAnsi"/>
        </w:rPr>
        <w:t>it was "</w:t>
      </w:r>
      <w:r w:rsidR="002951AF" w:rsidRPr="002951AF">
        <w:rPr>
          <w:rFonts w:cstheme="minorHAnsi"/>
        </w:rPr>
        <w:t>putting a pause on proposed increases to Maximum Residue Limits (MRLs), including for glyphosate</w:t>
      </w:r>
      <w:r w:rsidR="002951AF">
        <w:rPr>
          <w:rFonts w:cstheme="minorHAnsi"/>
        </w:rPr>
        <w:t>"</w:t>
      </w:r>
      <w:r w:rsidR="00AC08BB">
        <w:rPr>
          <w:rFonts w:cstheme="minorHAnsi"/>
        </w:rPr>
        <w:t xml:space="preserve">. It </w:t>
      </w:r>
      <w:r>
        <w:rPr>
          <w:rFonts w:cstheme="minorHAnsi"/>
        </w:rPr>
        <w:t xml:space="preserve">announced </w:t>
      </w:r>
      <w:r w:rsidR="002951AF">
        <w:rPr>
          <w:rFonts w:cstheme="minorHAnsi"/>
        </w:rPr>
        <w:t>a $</w:t>
      </w:r>
      <w:r w:rsidR="00AC08BB">
        <w:rPr>
          <w:rFonts w:cstheme="minorHAnsi"/>
        </w:rPr>
        <w:t>42</w:t>
      </w:r>
      <w:r w:rsidR="002951AF">
        <w:rPr>
          <w:rFonts w:cstheme="minorHAnsi"/>
        </w:rPr>
        <w:t xml:space="preserve"> million </w:t>
      </w:r>
      <w:r w:rsidR="00AC08BB">
        <w:rPr>
          <w:rFonts w:cstheme="minorHAnsi"/>
        </w:rPr>
        <w:t xml:space="preserve">investment </w:t>
      </w:r>
      <w:r w:rsidR="002951AF">
        <w:rPr>
          <w:rFonts w:cstheme="minorHAnsi"/>
        </w:rPr>
        <w:t>in the PMRA</w:t>
      </w:r>
      <w:r w:rsidR="00AC08BB">
        <w:rPr>
          <w:rFonts w:cstheme="minorHAnsi"/>
        </w:rPr>
        <w:t xml:space="preserve"> to: "further strengthen its human and environmental health and safety oversight and protection", improve the availability of independent data and improve transparency of decision-making. Monies were allocated to Environment and Climate Change Canada (ECCC) and Agriculture and Agri-Food Canada (Ag Canada)  for alternative pest management solutions".</w:t>
      </w:r>
      <w:r w:rsidR="002951AF">
        <w:rPr>
          <w:rFonts w:cstheme="minorHAnsi"/>
        </w:rPr>
        <w:t xml:space="preserve"> </w:t>
      </w:r>
    </w:p>
    <w:p w14:paraId="6693E326" w14:textId="60D241D4" w:rsidR="00AC08BB" w:rsidRDefault="002008E2" w:rsidP="00BA7F3B">
      <w:pPr>
        <w:rPr>
          <w:rFonts w:cstheme="minorHAnsi"/>
        </w:rPr>
      </w:pPr>
      <w:r>
        <w:rPr>
          <w:rFonts w:cstheme="minorHAnsi"/>
        </w:rPr>
        <w:t xml:space="preserve">- PMRA </w:t>
      </w:r>
      <w:r w:rsidR="00AC08BB">
        <w:rPr>
          <w:rFonts w:cstheme="minorHAnsi"/>
        </w:rPr>
        <w:t xml:space="preserve">also created a new expert panels "to provide advice, as appropriate, prior to evidence-based decisions of the PMRA on pesticides, including MRLs". This was the Science Advisory Committee. </w:t>
      </w:r>
    </w:p>
    <w:p w14:paraId="5C41802E" w14:textId="7D95B353" w:rsidR="002008E2" w:rsidRDefault="002008E2" w:rsidP="00BA7F3B">
      <w:pPr>
        <w:rPr>
          <w:rFonts w:cstheme="minorHAnsi"/>
        </w:rPr>
      </w:pPr>
      <w:r>
        <w:rPr>
          <w:rFonts w:cstheme="minorHAnsi"/>
        </w:rPr>
        <w:t xml:space="preserve">- On June 20, 2023, a co-chair of the </w:t>
      </w:r>
      <w:r w:rsidRPr="005127AF">
        <w:t xml:space="preserve">Science Advisory Committee </w:t>
      </w:r>
      <w:hyperlink r:id="rId12" w:history="1">
        <w:r w:rsidRPr="005127AF">
          <w:rPr>
            <w:rStyle w:val="Hyperlink"/>
            <w:color w:val="auto"/>
          </w:rPr>
          <w:t>resigned,</w:t>
        </w:r>
      </w:hyperlink>
      <w:r w:rsidRPr="005127AF">
        <w:t xml:space="preserve"> citing an “obsolete regulatory system that protects the pest industry more than it protects Canadians”</w:t>
      </w:r>
      <w:r>
        <w:t>, among other factors.</w:t>
      </w:r>
    </w:p>
    <w:p w14:paraId="111C09D3" w14:textId="5F754D55" w:rsidR="00AC08BB" w:rsidRPr="00457360" w:rsidRDefault="002008E2" w:rsidP="00457360">
      <w:pPr>
        <w:pStyle w:val="Heading3"/>
        <w:rPr>
          <w:sz w:val="24"/>
          <w:szCs w:val="24"/>
        </w:rPr>
      </w:pPr>
      <w:bookmarkStart w:id="8" w:name="_Toc145431561"/>
      <w:r w:rsidRPr="00457360">
        <w:rPr>
          <w:sz w:val="24"/>
          <w:szCs w:val="24"/>
        </w:rPr>
        <w:t>Lifting Pause and NOI 2023-01</w:t>
      </w:r>
      <w:bookmarkEnd w:id="8"/>
    </w:p>
    <w:bookmarkEnd w:id="6"/>
    <w:p w14:paraId="24D8AA27" w14:textId="21397F4D" w:rsidR="00BA7F3B" w:rsidRDefault="00EE581B" w:rsidP="00BA7F3B">
      <w:pPr>
        <w:rPr>
          <w:rFonts w:cstheme="minorHAnsi"/>
        </w:rPr>
      </w:pPr>
      <w:r>
        <w:rPr>
          <w:rFonts w:cstheme="minorHAnsi"/>
        </w:rPr>
        <w:t>-</w:t>
      </w:r>
      <w:r w:rsidR="00AC08BB">
        <w:rPr>
          <w:rFonts w:cstheme="minorHAnsi"/>
        </w:rPr>
        <w:t xml:space="preserve"> </w:t>
      </w:r>
      <w:r w:rsidR="002008E2">
        <w:rPr>
          <w:rFonts w:cstheme="minorHAnsi"/>
        </w:rPr>
        <w:t>On June 20, 2023, PMRA announce</w:t>
      </w:r>
      <w:r w:rsidR="003D79ED">
        <w:rPr>
          <w:rFonts w:cstheme="minorHAnsi"/>
        </w:rPr>
        <w:t>d</w:t>
      </w:r>
      <w:r w:rsidR="002008E2">
        <w:rPr>
          <w:rFonts w:cstheme="minorHAnsi"/>
        </w:rPr>
        <w:t xml:space="preserve"> it was </w:t>
      </w:r>
      <w:hyperlink r:id="rId13" w:history="1">
        <w:r w:rsidR="00BA7F3B" w:rsidRPr="005127AF">
          <w:rPr>
            <w:rStyle w:val="Hyperlink"/>
            <w:rFonts w:cstheme="minorHAnsi"/>
            <w:color w:val="auto"/>
          </w:rPr>
          <w:t>lifting the "pause"</w:t>
        </w:r>
      </w:hyperlink>
      <w:r w:rsidR="00BA7F3B" w:rsidRPr="005127AF">
        <w:rPr>
          <w:rFonts w:cstheme="minorHAnsi"/>
        </w:rPr>
        <w:t xml:space="preserve"> and </w:t>
      </w:r>
      <w:r w:rsidR="002008E2">
        <w:rPr>
          <w:rFonts w:cstheme="minorHAnsi"/>
        </w:rPr>
        <w:t xml:space="preserve">issued </w:t>
      </w:r>
      <w:r w:rsidR="00BA7F3B" w:rsidRPr="005127AF">
        <w:rPr>
          <w:rStyle w:val="Strong"/>
          <w:rFonts w:cstheme="minorHAnsi"/>
        </w:rPr>
        <w:t>Notice of Intent (NOI)</w:t>
      </w:r>
      <w:hyperlink r:id="rId14" w:history="1">
        <w:r w:rsidR="00BA7F3B" w:rsidRPr="005127AF">
          <w:rPr>
            <w:rStyle w:val="Hyperlink"/>
            <w:rFonts w:cstheme="minorHAnsi"/>
            <w:color w:val="auto"/>
          </w:rPr>
          <w:t> NOI2023-01</w:t>
        </w:r>
      </w:hyperlink>
      <w:r w:rsidR="00BA7F3B" w:rsidRPr="005127AF">
        <w:rPr>
          <w:rFonts w:cstheme="minorHAnsi"/>
        </w:rPr>
        <w:t xml:space="preserve"> for new regulations. The </w:t>
      </w:r>
      <w:r w:rsidR="00BA7F3B">
        <w:rPr>
          <w:rFonts w:cstheme="minorHAnsi"/>
        </w:rPr>
        <w:t xml:space="preserve">new </w:t>
      </w:r>
      <w:r w:rsidR="00BA7F3B" w:rsidRPr="005127AF">
        <w:rPr>
          <w:rFonts w:cstheme="minorHAnsi"/>
        </w:rPr>
        <w:t xml:space="preserve">regulation </w:t>
      </w:r>
      <w:r w:rsidR="00BA7F3B">
        <w:rPr>
          <w:rFonts w:cstheme="minorHAnsi"/>
        </w:rPr>
        <w:t xml:space="preserve">for MRLs says that Canadians </w:t>
      </w:r>
      <w:r w:rsidR="00BA7F3B" w:rsidRPr="005127AF">
        <w:rPr>
          <w:rFonts w:cstheme="minorHAnsi"/>
        </w:rPr>
        <w:t xml:space="preserve">will get a notice when there is a proposed increase to MRLs. </w:t>
      </w:r>
    </w:p>
    <w:p w14:paraId="270472A9" w14:textId="77777777" w:rsidR="00BA7F3B" w:rsidRPr="005127AF" w:rsidRDefault="00BA7F3B" w:rsidP="00BA7F3B">
      <w:r w:rsidRPr="005127AF">
        <w:t xml:space="preserve">- </w:t>
      </w:r>
      <w:r w:rsidRPr="003D79ED">
        <w:rPr>
          <w:b/>
          <w:bCs/>
        </w:rPr>
        <w:t>Canadians want a reduction in pesticide use, not a notice of increases</w:t>
      </w:r>
      <w:r w:rsidRPr="005127AF">
        <w:t xml:space="preserve">. More than 18,000 Canadians signed </w:t>
      </w:r>
      <w:hyperlink r:id="rId15" w:history="1">
        <w:r w:rsidRPr="005127AF">
          <w:rPr>
            <w:rStyle w:val="Hyperlink"/>
            <w:color w:val="auto"/>
          </w:rPr>
          <w:t>Petition e-4127</w:t>
        </w:r>
      </w:hyperlink>
      <w:r w:rsidRPr="005127AF">
        <w:t xml:space="preserve"> to ban glyphosate, which was presented to Parliament in the Spring</w:t>
      </w:r>
      <w:r>
        <w:t xml:space="preserve"> and supported by MPs of all parties</w:t>
      </w:r>
      <w:r w:rsidRPr="005127AF">
        <w:t xml:space="preserve">. </w:t>
      </w:r>
    </w:p>
    <w:p w14:paraId="1883AA6A" w14:textId="35D575E1" w:rsidR="00BA7F3B" w:rsidRPr="005127AF" w:rsidRDefault="00BA7F3B" w:rsidP="00BA7F3B">
      <w:r w:rsidRPr="005127AF">
        <w:t xml:space="preserve">- The comment period for NOI </w:t>
      </w:r>
      <w:r w:rsidR="00EE581B">
        <w:t xml:space="preserve">2023-01 </w:t>
      </w:r>
      <w:r w:rsidRPr="005127AF">
        <w:t xml:space="preserve">was delayed from August 19 until September 8, 2023, </w:t>
      </w:r>
      <w:r w:rsidR="00EE581B">
        <w:t xml:space="preserve">perhaps </w:t>
      </w:r>
      <w:r w:rsidRPr="005127AF">
        <w:t>due to more public outcry.</w:t>
      </w:r>
    </w:p>
    <w:p w14:paraId="0D956A37" w14:textId="2B6DFE15" w:rsidR="00E2036E" w:rsidRDefault="0033629D" w:rsidP="00E2036E">
      <w:pPr>
        <w:pStyle w:val="Heading2"/>
      </w:pPr>
      <w:bookmarkStart w:id="9" w:name="_Toc145431562"/>
      <w:r>
        <w:t>Import MRLs</w:t>
      </w:r>
      <w:r w:rsidR="00FE0F37">
        <w:t xml:space="preserve">, </w:t>
      </w:r>
      <w:r w:rsidR="00B17D21">
        <w:t>I</w:t>
      </w:r>
      <w:r w:rsidR="00FE0F37">
        <w:t xml:space="preserve">nflation of </w:t>
      </w:r>
      <w:r w:rsidR="00B17D21">
        <w:t>D</w:t>
      </w:r>
      <w:r w:rsidR="00FE0F37">
        <w:t>omestic MRLs</w:t>
      </w:r>
      <w:bookmarkEnd w:id="9"/>
      <w:r w:rsidR="00FE0F37">
        <w:t xml:space="preserve"> </w:t>
      </w:r>
    </w:p>
    <w:p w14:paraId="1EA116D7" w14:textId="373322CA" w:rsidR="00497C80" w:rsidRDefault="00B17D21" w:rsidP="0033629D">
      <w:pPr>
        <w:jc w:val="both"/>
      </w:pPr>
      <w:r>
        <w:t xml:space="preserve">- </w:t>
      </w:r>
      <w:r w:rsidR="0033629D">
        <w:t xml:space="preserve">Other countries have label directions that differ from Canada, so the foods </w:t>
      </w:r>
      <w:r w:rsidR="00FE0F37">
        <w:t xml:space="preserve">imported </w:t>
      </w:r>
      <w:r w:rsidR="0033629D">
        <w:t xml:space="preserve">from other countries </w:t>
      </w:r>
      <w:r w:rsidR="00FE0F37">
        <w:t xml:space="preserve">often </w:t>
      </w:r>
      <w:r w:rsidR="0033629D">
        <w:t>have levels of pesticides that differ from the levels o</w:t>
      </w:r>
      <w:r w:rsidR="00255D96">
        <w:t xml:space="preserve">n </w:t>
      </w:r>
      <w:r w:rsidR="0033629D">
        <w:t>food</w:t>
      </w:r>
      <w:r w:rsidR="00255D96">
        <w:t>s</w:t>
      </w:r>
      <w:r w:rsidR="0033629D">
        <w:t xml:space="preserve"> grown in Canada.  </w:t>
      </w:r>
      <w:r w:rsidR="0033759F">
        <w:t xml:space="preserve">The </w:t>
      </w:r>
      <w:r w:rsidR="0033629D">
        <w:t>PMRA's job under the Act is to protect Canadians from unacceptable risks of pesticides, so PMRA needs a way to look at the fact that Canadian</w:t>
      </w:r>
      <w:r w:rsidR="00FE0F37">
        <w:t>s</w:t>
      </w:r>
      <w:r w:rsidR="0033629D">
        <w:t xml:space="preserve"> eat food from other countries </w:t>
      </w:r>
      <w:r w:rsidR="00255D96">
        <w:t xml:space="preserve">with different pesticide levels. </w:t>
      </w:r>
    </w:p>
    <w:p w14:paraId="5B477AA2" w14:textId="5DC2818A" w:rsidR="0033629D" w:rsidRDefault="00497C80" w:rsidP="0033629D">
      <w:pPr>
        <w:jc w:val="both"/>
      </w:pPr>
      <w:r>
        <w:t xml:space="preserve">- PMRA does this by conducting a </w:t>
      </w:r>
      <w:r w:rsidR="00E07848">
        <w:t xml:space="preserve">dietary </w:t>
      </w:r>
      <w:r w:rsidR="00B17D21">
        <w:t xml:space="preserve">exposure </w:t>
      </w:r>
      <w:r w:rsidR="00E07848">
        <w:t>assessment (</w:t>
      </w:r>
      <w:r w:rsidR="00E07848" w:rsidRPr="00B17D21">
        <w:rPr>
          <w:b/>
          <w:bCs/>
        </w:rPr>
        <w:t>DEA</w:t>
      </w:r>
      <w:r w:rsidR="00E07848">
        <w:t>), which</w:t>
      </w:r>
      <w:r>
        <w:t xml:space="preserve"> in theory assesses </w:t>
      </w:r>
      <w:r w:rsidR="00B17D21">
        <w:t xml:space="preserve">the pesticide residue levels in </w:t>
      </w:r>
      <w:r w:rsidR="00E07848">
        <w:t xml:space="preserve">foods eaten by Canadians </w:t>
      </w:r>
      <w:r w:rsidR="00B17D21">
        <w:t xml:space="preserve">(residue levels) </w:t>
      </w:r>
      <w:r w:rsidR="00E07848">
        <w:t xml:space="preserve">and the </w:t>
      </w:r>
      <w:r w:rsidR="00B17D21">
        <w:t>quantities of such foods eaten by Canadian (consumption).</w:t>
      </w:r>
      <w:r w:rsidR="00E07848">
        <w:t xml:space="preserve"> </w:t>
      </w:r>
      <w:r w:rsidR="00FE0F37">
        <w:t xml:space="preserve">If the DEA shows that levels of </w:t>
      </w:r>
      <w:r w:rsidR="00C3311C">
        <w:t xml:space="preserve">pesticide exposure to Canadians from </w:t>
      </w:r>
      <w:r w:rsidR="00FE0F37">
        <w:t>eating</w:t>
      </w:r>
      <w:r w:rsidR="00E07848">
        <w:t xml:space="preserve"> both the imported and the domestically grown food is within </w:t>
      </w:r>
      <w:r w:rsidR="00C3311C">
        <w:t xml:space="preserve">safe limits, then the </w:t>
      </w:r>
      <w:r>
        <w:t>I</w:t>
      </w:r>
      <w:r w:rsidR="00C3311C">
        <w:t xml:space="preserve">mport MRL is accepted.  </w:t>
      </w:r>
      <w:r w:rsidR="004D282C">
        <w:t>This makes sense</w:t>
      </w:r>
      <w:r>
        <w:t xml:space="preserve"> (except that the consumption data used by PMRA for Canadians, </w:t>
      </w:r>
      <w:r w:rsidR="00492632">
        <w:t xml:space="preserve">taken from </w:t>
      </w:r>
      <w:r>
        <w:t>DEEM</w:t>
      </w:r>
      <w:r w:rsidR="00492632">
        <w:t>-FCID software</w:t>
      </w:r>
      <w:r>
        <w:t>, actually is data on what Americans eat, not Canadians)</w:t>
      </w:r>
      <w:r w:rsidR="004D282C">
        <w:t xml:space="preserve">. </w:t>
      </w:r>
    </w:p>
    <w:p w14:paraId="46D40DCA" w14:textId="65C33D1C" w:rsidR="004D282C" w:rsidRDefault="00492632" w:rsidP="0033629D">
      <w:pPr>
        <w:jc w:val="both"/>
      </w:pPr>
      <w:r>
        <w:t xml:space="preserve">- </w:t>
      </w:r>
      <w:r w:rsidR="004D282C">
        <w:t xml:space="preserve">What doesn't make sense is that PMRA, in its dietary </w:t>
      </w:r>
      <w:r w:rsidR="00497C80">
        <w:t xml:space="preserve">exposure </w:t>
      </w:r>
      <w:r w:rsidR="004D282C">
        <w:t xml:space="preserve">assessment, uses the </w:t>
      </w:r>
      <w:r w:rsidR="00497C80">
        <w:t xml:space="preserve">residue level </w:t>
      </w:r>
      <w:r w:rsidR="004D282C">
        <w:t>for</w:t>
      </w:r>
      <w:r w:rsidR="00FE0F37">
        <w:t xml:space="preserve"> an</w:t>
      </w:r>
      <w:r w:rsidR="004D282C">
        <w:t xml:space="preserve"> imported food as the MRL for the </w:t>
      </w:r>
      <w:r w:rsidR="00FE0F37">
        <w:t xml:space="preserve">same food that is </w:t>
      </w:r>
      <w:r w:rsidR="004D282C">
        <w:t xml:space="preserve">grown in Canada as well.  It inflates the Canadian MRL to align with the higher </w:t>
      </w:r>
      <w:r w:rsidR="00497C80">
        <w:t>I</w:t>
      </w:r>
      <w:r w:rsidR="004D282C">
        <w:t>mport MRL</w:t>
      </w:r>
      <w:r w:rsidR="00E07848">
        <w:t xml:space="preserve"> - </w:t>
      </w:r>
      <w:r w:rsidR="00A8192D">
        <w:t xml:space="preserve"> then </w:t>
      </w:r>
      <w:r w:rsidR="00E07848">
        <w:t xml:space="preserve">uses this higher level as the </w:t>
      </w:r>
      <w:r w:rsidR="004D282C">
        <w:t xml:space="preserve">MRL for food grown in Canada.  </w:t>
      </w:r>
      <w:r w:rsidR="004D282C" w:rsidRPr="00E07848">
        <w:rPr>
          <w:b/>
          <w:bCs/>
        </w:rPr>
        <w:t>The result is that the MRL</w:t>
      </w:r>
      <w:r w:rsidR="00E07848">
        <w:rPr>
          <w:b/>
          <w:bCs/>
        </w:rPr>
        <w:t>s used in the DEA</w:t>
      </w:r>
      <w:r w:rsidR="004D282C" w:rsidRPr="00E07848">
        <w:rPr>
          <w:b/>
          <w:bCs/>
        </w:rPr>
        <w:t xml:space="preserve"> for Canadian grown food</w:t>
      </w:r>
      <w:r w:rsidR="00E07848">
        <w:rPr>
          <w:b/>
          <w:bCs/>
        </w:rPr>
        <w:t>s</w:t>
      </w:r>
      <w:r w:rsidR="004D282C" w:rsidRPr="00E07848">
        <w:rPr>
          <w:b/>
          <w:bCs/>
        </w:rPr>
        <w:t xml:space="preserve"> </w:t>
      </w:r>
      <w:r w:rsidR="00E07848">
        <w:rPr>
          <w:b/>
          <w:bCs/>
        </w:rPr>
        <w:t>are higher than the levels that occur in the field – in other words, the MRLs for Canadian food are</w:t>
      </w:r>
      <w:r w:rsidR="004D282C" w:rsidRPr="00E07848">
        <w:rPr>
          <w:b/>
          <w:bCs/>
        </w:rPr>
        <w:t xml:space="preserve"> no longer tied to the Canadian label directions.</w:t>
      </w:r>
      <w:r w:rsidR="004D282C">
        <w:t xml:space="preserve"> </w:t>
      </w:r>
    </w:p>
    <w:p w14:paraId="5E4ABB3D" w14:textId="084612A6" w:rsidR="00E07848" w:rsidRDefault="00E07848" w:rsidP="0033629D">
      <w:pPr>
        <w:jc w:val="both"/>
      </w:pPr>
      <w:r>
        <w:t xml:space="preserve">PMRA then sets the higher MRL as the </w:t>
      </w:r>
      <w:r w:rsidR="005E1502">
        <w:t xml:space="preserve">Canadian </w:t>
      </w:r>
      <w:r>
        <w:t xml:space="preserve">legal limit for that food, whether grown domestically or imported. </w:t>
      </w:r>
    </w:p>
    <w:p w14:paraId="588FA290" w14:textId="5E578BDE" w:rsidR="00FE0F37" w:rsidRDefault="00FE0F37" w:rsidP="002D6693">
      <w:pPr>
        <w:pStyle w:val="Heading2"/>
      </w:pPr>
      <w:bookmarkStart w:id="10" w:name="_Toc145431563"/>
      <w:r>
        <w:lastRenderedPageBreak/>
        <w:t xml:space="preserve">Problems with Using Higher Import </w:t>
      </w:r>
      <w:r w:rsidR="00FF47ED">
        <w:t xml:space="preserve">MRL </w:t>
      </w:r>
      <w:r>
        <w:t>as Canadian MRL</w:t>
      </w:r>
      <w:bookmarkEnd w:id="10"/>
    </w:p>
    <w:p w14:paraId="344F7D90" w14:textId="77777777" w:rsidR="00232096" w:rsidRDefault="00FE0F37" w:rsidP="002D6693">
      <w:pPr>
        <w:keepNext/>
        <w:keepLines/>
      </w:pPr>
      <w:r>
        <w:t>There are t</w:t>
      </w:r>
      <w:r w:rsidR="00CE6FE5">
        <w:t>hree</w:t>
      </w:r>
      <w:r>
        <w:t xml:space="preserve"> main problems with setting the MRL for foods grown in Canada with the </w:t>
      </w:r>
      <w:r w:rsidR="00D46436">
        <w:t>I</w:t>
      </w:r>
      <w:r>
        <w:t xml:space="preserve">mport MRL.  </w:t>
      </w:r>
    </w:p>
    <w:p w14:paraId="145303D3" w14:textId="58F1A5D2" w:rsidR="00A8192D" w:rsidRDefault="00232096" w:rsidP="002D6693">
      <w:pPr>
        <w:keepNext/>
        <w:keepLines/>
      </w:pPr>
      <w:bookmarkStart w:id="11" w:name="_Toc145431564"/>
      <w:r w:rsidRPr="00A85729">
        <w:rPr>
          <w:rStyle w:val="Heading3Char"/>
        </w:rPr>
        <w:t xml:space="preserve">- </w:t>
      </w:r>
      <w:r w:rsidR="00FF47ED" w:rsidRPr="00A85729">
        <w:rPr>
          <w:rStyle w:val="Heading3Char"/>
        </w:rPr>
        <w:t>Removes Canadian standard</w:t>
      </w:r>
      <w:bookmarkEnd w:id="11"/>
      <w:r w:rsidR="00FF47ED">
        <w:t xml:space="preserve">. </w:t>
      </w:r>
      <w:r w:rsidR="00FE0F37">
        <w:t xml:space="preserve">First, it </w:t>
      </w:r>
      <w:r w:rsidR="00A8192D">
        <w:t xml:space="preserve">removes the Canadian standard for pesticide residues – it </w:t>
      </w:r>
      <w:r w:rsidR="00FE0F37">
        <w:t xml:space="preserve">leaves no </w:t>
      </w:r>
      <w:r w:rsidR="00A8192D" w:rsidRPr="00A8192D">
        <w:t xml:space="preserve">measure for pesticide residue that may remain on or in food </w:t>
      </w:r>
      <w:r w:rsidR="00A8192D">
        <w:rPr>
          <w:b/>
          <w:bCs/>
        </w:rPr>
        <w:t xml:space="preserve">grown in Canada </w:t>
      </w:r>
      <w:r w:rsidR="00A8192D" w:rsidRPr="00A8192D">
        <w:t xml:space="preserve">when a pesticide is used according to </w:t>
      </w:r>
      <w:r w:rsidR="00A8192D">
        <w:rPr>
          <w:b/>
          <w:bCs/>
        </w:rPr>
        <w:t xml:space="preserve">Canadian </w:t>
      </w:r>
      <w:r w:rsidR="00A8192D" w:rsidRPr="00A8192D">
        <w:t>label directions.</w:t>
      </w:r>
      <w:r w:rsidR="00A8192D">
        <w:t xml:space="preserve">  As such, </w:t>
      </w:r>
      <w:r w:rsidR="00A8192D" w:rsidRPr="00E07848">
        <w:rPr>
          <w:b/>
          <w:bCs/>
        </w:rPr>
        <w:t xml:space="preserve">it removes a </w:t>
      </w:r>
      <w:r w:rsidR="00733E8C" w:rsidRPr="00E07848">
        <w:rPr>
          <w:b/>
          <w:bCs/>
        </w:rPr>
        <w:t xml:space="preserve">measure and </w:t>
      </w:r>
      <w:r w:rsidR="00A8192D" w:rsidRPr="00E07848">
        <w:rPr>
          <w:b/>
          <w:bCs/>
        </w:rPr>
        <w:t xml:space="preserve">check for the </w:t>
      </w:r>
      <w:r w:rsidR="00733E8C" w:rsidRPr="00E07848">
        <w:rPr>
          <w:b/>
          <w:bCs/>
        </w:rPr>
        <w:t>exposure of Canadians to pesticides</w:t>
      </w:r>
      <w:r w:rsidR="00733E8C">
        <w:t>, a key measure of risk</w:t>
      </w:r>
      <w:r w:rsidR="00A8192D">
        <w:t xml:space="preserve">. </w:t>
      </w:r>
      <w:r w:rsidR="00A8192D" w:rsidRPr="00A8192D">
        <w:rPr>
          <w:b/>
          <w:bCs/>
        </w:rPr>
        <w:t xml:space="preserve"> </w:t>
      </w:r>
      <w:r w:rsidR="00A8192D">
        <w:t xml:space="preserve"> </w:t>
      </w:r>
    </w:p>
    <w:p w14:paraId="4E4CE2AB" w14:textId="65F0712A" w:rsidR="00733E8C" w:rsidRDefault="00232096" w:rsidP="0033629D">
      <w:pPr>
        <w:jc w:val="both"/>
      </w:pPr>
      <w:bookmarkStart w:id="12" w:name="_Toc145431565"/>
      <w:r w:rsidRPr="00BC6520">
        <w:rPr>
          <w:rStyle w:val="Heading3Char"/>
        </w:rPr>
        <w:t xml:space="preserve">- </w:t>
      </w:r>
      <w:r w:rsidR="00FF47ED" w:rsidRPr="00BC6520">
        <w:rPr>
          <w:rStyle w:val="Heading3Char"/>
        </w:rPr>
        <w:t>Free Pass for High Levels</w:t>
      </w:r>
      <w:bookmarkEnd w:id="12"/>
      <w:r w:rsidR="00FF47ED">
        <w:t xml:space="preserve">. </w:t>
      </w:r>
      <w:r w:rsidR="00A8192D">
        <w:t xml:space="preserve">Second, </w:t>
      </w:r>
      <w:r w:rsidR="008B561B">
        <w:t xml:space="preserve">this </w:t>
      </w:r>
      <w:r w:rsidR="00A8192D">
        <w:t xml:space="preserve">opens the door for allowing higher pesticide levels to occur on Canadian foods without adequate checks. These higher levels could occur for various reasons, as explained below.  The point is that unless </w:t>
      </w:r>
      <w:r w:rsidR="00733E8C">
        <w:t xml:space="preserve">there is limit set based upon application according to Canadian label directions, there is no standard that allows for further inquiry </w:t>
      </w:r>
      <w:r w:rsidR="003D79ED">
        <w:t>in</w:t>
      </w:r>
      <w:r w:rsidR="00733E8C">
        <w:t xml:space="preserve">to exceedances. </w:t>
      </w:r>
    </w:p>
    <w:p w14:paraId="20FB260D" w14:textId="46B2E010" w:rsidR="00836C01" w:rsidRDefault="00232096" w:rsidP="00784B24">
      <w:pPr>
        <w:jc w:val="both"/>
      </w:pPr>
      <w:r>
        <w:t xml:space="preserve">- </w:t>
      </w:r>
      <w:r w:rsidR="00733E8C">
        <w:t>Higher levels than the MRLs can occur for various reasons</w:t>
      </w:r>
      <w:r w:rsidR="00836C01">
        <w:t xml:space="preserve">, </w:t>
      </w:r>
      <w:r w:rsidR="006C667A">
        <w:t xml:space="preserve">as </w:t>
      </w:r>
      <w:r w:rsidR="00836C01">
        <w:t xml:space="preserve">explained below. </w:t>
      </w:r>
    </w:p>
    <w:p w14:paraId="0A764097" w14:textId="6F77015A" w:rsidR="00784B24" w:rsidRDefault="00DE4B05" w:rsidP="00DE4B05">
      <w:pPr>
        <w:pStyle w:val="ListParagraph"/>
        <w:numPr>
          <w:ilvl w:val="0"/>
          <w:numId w:val="22"/>
        </w:numPr>
      </w:pPr>
      <w:bookmarkStart w:id="13" w:name="_Toc145431566"/>
      <w:r w:rsidRPr="005A4857">
        <w:rPr>
          <w:rStyle w:val="Heading3Char"/>
        </w:rPr>
        <w:t xml:space="preserve">From </w:t>
      </w:r>
      <w:r w:rsidR="008B561B" w:rsidRPr="005A4857">
        <w:rPr>
          <w:rStyle w:val="Heading3Char"/>
        </w:rPr>
        <w:t xml:space="preserve">Wrong </w:t>
      </w:r>
      <w:r w:rsidRPr="005A4857">
        <w:rPr>
          <w:rStyle w:val="Heading3Char"/>
        </w:rPr>
        <w:t>L</w:t>
      </w:r>
      <w:r w:rsidR="008B561B" w:rsidRPr="005A4857">
        <w:rPr>
          <w:rStyle w:val="Heading3Char"/>
        </w:rPr>
        <w:t>abels</w:t>
      </w:r>
      <w:bookmarkEnd w:id="13"/>
      <w:r w:rsidR="008B561B" w:rsidRPr="00EF7EC6">
        <w:rPr>
          <w:rStyle w:val="Heading4Char"/>
        </w:rPr>
        <w:t>.</w:t>
      </w:r>
      <w:r w:rsidR="008B561B">
        <w:t xml:space="preserve"> </w:t>
      </w:r>
      <w:r w:rsidR="00733E8C">
        <w:t xml:space="preserve">The labels may be wrong. A </w:t>
      </w:r>
      <w:r w:rsidR="00733E8C" w:rsidRPr="00C053BE">
        <w:t xml:space="preserve">recent </w:t>
      </w:r>
      <w:hyperlink r:id="rId16" w:history="1">
        <w:r w:rsidR="00733E8C" w:rsidRPr="00C053BE">
          <w:rPr>
            <w:rStyle w:val="Hyperlink"/>
          </w:rPr>
          <w:t>Agriculture Canada</w:t>
        </w:r>
      </w:hyperlink>
      <w:r w:rsidR="00733E8C" w:rsidRPr="00C053BE">
        <w:t xml:space="preserve"> study</w:t>
      </w:r>
      <w:r w:rsidR="00733E8C">
        <w:t xml:space="preserve"> showed there were exceedances of the MRL for glyphosate in barley </w:t>
      </w:r>
      <w:r w:rsidR="00733E8C" w:rsidRPr="00836C01">
        <w:rPr>
          <w:b/>
          <w:bCs/>
        </w:rPr>
        <w:t xml:space="preserve">even when </w:t>
      </w:r>
      <w:r w:rsidR="00C053BE" w:rsidRPr="00836C01">
        <w:rPr>
          <w:b/>
          <w:bCs/>
        </w:rPr>
        <w:t xml:space="preserve">glyphosate was </w:t>
      </w:r>
      <w:r w:rsidR="00733E8C" w:rsidRPr="00836C01">
        <w:rPr>
          <w:b/>
          <w:bCs/>
        </w:rPr>
        <w:t>applied according to label directions</w:t>
      </w:r>
      <w:r w:rsidR="00733E8C">
        <w:t xml:space="preserve">. Many of the </w:t>
      </w:r>
      <w:r w:rsidR="00E872A9">
        <w:t xml:space="preserve">directions </w:t>
      </w:r>
      <w:r w:rsidR="00733E8C">
        <w:t>were set decades ago based on field trials conducted by pesticide companies</w:t>
      </w:r>
      <w:r w:rsidR="00E872A9">
        <w:t xml:space="preserve"> on conventional crops like wheat and canola, and have not been verified. </w:t>
      </w:r>
      <w:r w:rsidR="00836C01">
        <w:t>Here are some explanations for why the labels may be wrong:</w:t>
      </w:r>
      <w:r w:rsidR="00E872A9">
        <w:t xml:space="preserve"> </w:t>
      </w:r>
      <w:r w:rsidR="005371D8">
        <w:br/>
      </w:r>
    </w:p>
    <w:p w14:paraId="34F68F07" w14:textId="2A64A0B5" w:rsidR="00784B24" w:rsidRDefault="00784B24" w:rsidP="005371D8">
      <w:pPr>
        <w:pStyle w:val="ListParagraph"/>
        <w:numPr>
          <w:ilvl w:val="1"/>
          <w:numId w:val="22"/>
        </w:numPr>
      </w:pPr>
      <w:r>
        <w:t>By way of example, t</w:t>
      </w:r>
      <w:r w:rsidR="00E872A9" w:rsidRPr="00E872A9">
        <w:t xml:space="preserve">he </w:t>
      </w:r>
      <w:r w:rsidR="00E872A9">
        <w:t xml:space="preserve">initial MRLs for glyphosate sprayed on </w:t>
      </w:r>
      <w:r>
        <w:t xml:space="preserve">white beans </w:t>
      </w:r>
      <w:r w:rsidR="00E872A9">
        <w:t xml:space="preserve">before harvest was based on a study taken from 1989 that was flawed.  The </w:t>
      </w:r>
      <w:r w:rsidR="00E872A9" w:rsidRPr="00E872A9">
        <w:t>labels require</w:t>
      </w:r>
      <w:r w:rsidR="00E872A9">
        <w:t>d</w:t>
      </w:r>
      <w:r w:rsidR="00E872A9" w:rsidRPr="00E872A9">
        <w:t xml:space="preserve"> that spraying </w:t>
      </w:r>
      <w:r w:rsidR="00E872A9">
        <w:t xml:space="preserve">occur </w:t>
      </w:r>
      <w:r w:rsidR="00E872A9" w:rsidRPr="00E872A9">
        <w:t>when there is 30% or less seed moisture content</w:t>
      </w:r>
      <w:r w:rsidR="00C053BE">
        <w:t xml:space="preserve">, on the theory that higher moisture content means the crop is still growing and filling the seed, and during such time the pesticide is moving along with the nutrients and getting right into the seed.  The problem with </w:t>
      </w:r>
      <w:r w:rsidR="00E872A9" w:rsidRPr="00E872A9">
        <w:t xml:space="preserve">the </w:t>
      </w:r>
      <w:r w:rsidRPr="00E872A9">
        <w:t xml:space="preserve">initial field study </w:t>
      </w:r>
      <w:r>
        <w:t xml:space="preserve">on white beans </w:t>
      </w:r>
      <w:r w:rsidR="00C053BE">
        <w:t xml:space="preserve">is the researchers </w:t>
      </w:r>
      <w:r w:rsidRPr="002E59D9">
        <w:rPr>
          <w:b/>
          <w:bCs/>
        </w:rPr>
        <w:t>did not measure seed/bean moisture content at the time of spraying</w:t>
      </w:r>
      <w:r w:rsidRPr="00E872A9">
        <w:t xml:space="preserve">, and actually </w:t>
      </w:r>
      <w:r w:rsidRPr="002E59D9">
        <w:rPr>
          <w:b/>
          <w:bCs/>
        </w:rPr>
        <w:t>discarded 3 samples</w:t>
      </w:r>
      <w:r w:rsidRPr="00E872A9">
        <w:t xml:space="preserve"> that were found to have high moisture after the fact</w:t>
      </w:r>
      <w:r>
        <w:t>! This white bean study set the MRLs for spraying glyphosate pre-harvest on other pulses, based on the principle of "crop grouping"</w:t>
      </w:r>
      <w:r w:rsidR="002E59D9">
        <w:t>, where one crop serves as the representative for other, similar crops</w:t>
      </w:r>
      <w:r>
        <w:t>.  Th</w:t>
      </w:r>
      <w:r w:rsidR="00C053BE">
        <w:t xml:space="preserve">us this flawed </w:t>
      </w:r>
      <w:r>
        <w:t xml:space="preserve">white bean </w:t>
      </w:r>
      <w:r w:rsidR="00C053BE">
        <w:t xml:space="preserve">study for </w:t>
      </w:r>
      <w:r>
        <w:t xml:space="preserve">MRL for spraying glyphosate pre-harvest was extended to chickpeas, and the field trials for chickpeas also did not </w:t>
      </w:r>
      <w:r w:rsidRPr="00E872A9">
        <w:t>measure the moisture content in the seed/grain/pulse in some instances</w:t>
      </w:r>
      <w:r>
        <w:t>.</w:t>
      </w:r>
      <w:r w:rsidR="005371D8">
        <w:br/>
      </w:r>
    </w:p>
    <w:p w14:paraId="1D5FCDF2" w14:textId="1AA3D56C" w:rsidR="00836C01" w:rsidRDefault="00665B08" w:rsidP="005371D8">
      <w:pPr>
        <w:pStyle w:val="ListParagraph"/>
        <w:numPr>
          <w:ilvl w:val="1"/>
          <w:numId w:val="22"/>
        </w:numPr>
      </w:pPr>
      <w:r>
        <w:t xml:space="preserve">The grouping of the crops may be wrong. PMRA indicates that </w:t>
      </w:r>
      <w:r w:rsidR="002008E2">
        <w:t>"</w:t>
      </w:r>
      <w:hyperlink r:id="rId17" w:anchor="a6" w:history="1">
        <w:r w:rsidRPr="00665B08">
          <w:rPr>
            <w:rStyle w:val="Hyperlink"/>
          </w:rPr>
          <w:t>c</w:t>
        </w:r>
        <w:r w:rsidR="002008E2" w:rsidRPr="00665B08">
          <w:rPr>
            <w:rStyle w:val="Hyperlink"/>
          </w:rPr>
          <w:t>rop grouping</w:t>
        </w:r>
      </w:hyperlink>
      <w:r w:rsidR="002008E2">
        <w:t>" is supposed to based upon</w:t>
      </w:r>
      <w:r>
        <w:t xml:space="preserve"> botanical and taxonomic cultivation practices.  Botanical criteria include similarities in the way the crops grow. Some crops have indeterminate growth habits (always producing seeds) whereas others have determinate growth habits (the time for setting seeds is set and terminates at a point). </w:t>
      </w:r>
      <w:r w:rsidR="00784B24">
        <w:t xml:space="preserve"> </w:t>
      </w:r>
      <w:r>
        <w:t xml:space="preserve">Indeterminate crops have in some instances been grouped with determinate crops, which is a mistake when it comes to pesticide residue levels. Systemic pesticides like glyphosate move with nutrients to seeds </w:t>
      </w:r>
      <w:r w:rsidR="001A1E9E">
        <w:t>(translocate</w:t>
      </w:r>
      <w:r w:rsidR="002E59D9">
        <w:t>)</w:t>
      </w:r>
      <w:r w:rsidR="001A1E9E">
        <w:t xml:space="preserve"> </w:t>
      </w:r>
      <w:r>
        <w:t xml:space="preserve">during the time the crop is producing seeds, meaning the pesticide is continually moving to the seed with indeterminate crops. Thus the growth habits of indeterminate crops cause them to generally yield higher seed systemic pesticide levels than determinate crops. </w:t>
      </w:r>
      <w:r w:rsidR="005371D8">
        <w:br/>
      </w:r>
    </w:p>
    <w:p w14:paraId="5225EB39" w14:textId="7ACA1FF9" w:rsidR="00665B08" w:rsidRDefault="00665B08" w:rsidP="005371D8">
      <w:pPr>
        <w:pStyle w:val="ListParagraph"/>
        <w:numPr>
          <w:ilvl w:val="1"/>
          <w:numId w:val="22"/>
        </w:numPr>
      </w:pPr>
      <w:r>
        <w:lastRenderedPageBreak/>
        <w:t xml:space="preserve">The labels set out "pre-harvest" intervals. This is the time frame between the time of spraying a pesticide on the crop and the time of harvesting the crop. </w:t>
      </w:r>
      <w:r w:rsidR="008B7472">
        <w:t>The residues levels for the labels are generally set based upon the pesticide levels in the seeds found at harvest after the shortest fi</w:t>
      </w:r>
      <w:r w:rsidR="002E59D9">
        <w:t>el</w:t>
      </w:r>
      <w:r w:rsidR="008B7472">
        <w:t xml:space="preserve">d trial interval – generally 7 days. The reasons is the regulators consider this to be protective, because they assume that pesticide residue levels dissipate over time.  However, confidential test data for the </w:t>
      </w:r>
      <w:r w:rsidR="002E59D9">
        <w:t>G</w:t>
      </w:r>
      <w:r w:rsidR="008B7472">
        <w:t xml:space="preserve">lyphosate </w:t>
      </w:r>
      <w:r w:rsidR="002E59D9">
        <w:t>P</w:t>
      </w:r>
      <w:r w:rsidR="008B7472">
        <w:t xml:space="preserve">roposal showed that </w:t>
      </w:r>
      <w:r w:rsidR="008B7472" w:rsidRPr="002E59D9">
        <w:rPr>
          <w:b/>
          <w:bCs/>
        </w:rPr>
        <w:t xml:space="preserve">the levels of glyphosate, a systemic pesticide, actually </w:t>
      </w:r>
      <w:r w:rsidR="008B7472" w:rsidRPr="002E59D9">
        <w:rPr>
          <w:b/>
          <w:bCs/>
          <w:u w:val="single"/>
        </w:rPr>
        <w:t>increased</w:t>
      </w:r>
      <w:r w:rsidR="008B7472" w:rsidRPr="002E59D9">
        <w:rPr>
          <w:u w:val="single"/>
        </w:rPr>
        <w:t xml:space="preserve"> </w:t>
      </w:r>
      <w:r w:rsidR="008B7472">
        <w:t xml:space="preserve">over time, as we pointed out in our comments to the proposal: </w:t>
      </w:r>
      <w:r w:rsidR="008B7472" w:rsidRPr="008B7472">
        <w:t> </w:t>
      </w:r>
      <w:hyperlink r:id="rId18" w:history="1">
        <w:r w:rsidR="008B7472" w:rsidRPr="008B7472">
          <w:rPr>
            <w:rStyle w:val="Hyperlink"/>
          </w:rPr>
          <w:t>Comments to PMRA on GLY increases in PMRL 2021-10</w:t>
        </w:r>
      </w:hyperlink>
      <w:r w:rsidR="008B7472">
        <w:t xml:space="preserve">. The reason may be that the longer the time period during which glyphosate was on the crop provided a longer time frame for glyphosate to translocate to the seed, resulting in higher levels.  After spraying, the crop does not die immediately, but continues its growth which diminishes over time. </w:t>
      </w:r>
      <w:r w:rsidR="005371D8">
        <w:br/>
      </w:r>
    </w:p>
    <w:p w14:paraId="2A77D922" w14:textId="54EFEC64" w:rsidR="00836C01" w:rsidRDefault="00DE4B05" w:rsidP="00C16CE8">
      <w:pPr>
        <w:pStyle w:val="ListParagraph"/>
        <w:numPr>
          <w:ilvl w:val="0"/>
          <w:numId w:val="22"/>
        </w:numPr>
      </w:pPr>
      <w:bookmarkStart w:id="14" w:name="_Toc145431567"/>
      <w:r w:rsidRPr="002671E2">
        <w:rPr>
          <w:rStyle w:val="Heading3Char"/>
        </w:rPr>
        <w:t xml:space="preserve">Because of </w:t>
      </w:r>
      <w:r w:rsidR="008B561B" w:rsidRPr="002671E2">
        <w:rPr>
          <w:rStyle w:val="Heading3Char"/>
        </w:rPr>
        <w:t>Field Conditions</w:t>
      </w:r>
      <w:bookmarkEnd w:id="14"/>
      <w:r w:rsidR="008B561B">
        <w:t xml:space="preserve">. </w:t>
      </w:r>
      <w:r w:rsidR="00232096">
        <w:t xml:space="preserve">Field </w:t>
      </w:r>
      <w:r w:rsidR="00836C01">
        <w:t xml:space="preserve">conditions might cause higher levels </w:t>
      </w:r>
      <w:r w:rsidR="006E7005">
        <w:t xml:space="preserve">in some portions of a field over others, particularly with indeterminate crops. </w:t>
      </w:r>
      <w:r w:rsidR="005371D8">
        <w:t xml:space="preserve">Growing conditions affect growth habits of plant, as does localized field moisture. </w:t>
      </w:r>
      <w:r w:rsidR="005371D8">
        <w:br/>
      </w:r>
    </w:p>
    <w:p w14:paraId="55B3E2A3" w14:textId="66272D7B" w:rsidR="00784B24" w:rsidRDefault="00836C01" w:rsidP="00836C01">
      <w:pPr>
        <w:pStyle w:val="ListParagraph"/>
        <w:numPr>
          <w:ilvl w:val="0"/>
          <w:numId w:val="22"/>
        </w:numPr>
        <w:jc w:val="both"/>
      </w:pPr>
      <w:r w:rsidRPr="00DE4B05">
        <w:rPr>
          <w:rStyle w:val="Heading3Char"/>
        </w:rPr>
        <w:t xml:space="preserve"> </w:t>
      </w:r>
      <w:bookmarkStart w:id="15" w:name="_Toc145431568"/>
      <w:r w:rsidR="00DE4B05" w:rsidRPr="002671E2">
        <w:rPr>
          <w:rStyle w:val="Heading3Char"/>
        </w:rPr>
        <w:t xml:space="preserve">From </w:t>
      </w:r>
      <w:r w:rsidR="008B561B" w:rsidRPr="002671E2">
        <w:rPr>
          <w:rStyle w:val="Heading3Char"/>
        </w:rPr>
        <w:t>Overapplication</w:t>
      </w:r>
      <w:bookmarkEnd w:id="15"/>
      <w:r w:rsidR="008B561B">
        <w:t xml:space="preserve">. </w:t>
      </w:r>
      <w:r w:rsidR="00232096">
        <w:t>O</w:t>
      </w:r>
      <w:r>
        <w:t xml:space="preserve">verapplication </w:t>
      </w:r>
      <w:r w:rsidR="00232096">
        <w:t xml:space="preserve">of pesticides </w:t>
      </w:r>
      <w:r>
        <w:t xml:space="preserve">may be occurring. </w:t>
      </w:r>
    </w:p>
    <w:p w14:paraId="4F119D50" w14:textId="3031383C" w:rsidR="00A076D5" w:rsidRDefault="006E7005" w:rsidP="00587A30">
      <w:pPr>
        <w:pStyle w:val="ListParagraph"/>
        <w:numPr>
          <w:ilvl w:val="1"/>
          <w:numId w:val="22"/>
        </w:numPr>
        <w:jc w:val="both"/>
      </w:pPr>
      <w:r>
        <w:t xml:space="preserve">The labels for spraying </w:t>
      </w:r>
      <w:r w:rsidR="00836C01">
        <w:t xml:space="preserve">are complicated and hard to follow. </w:t>
      </w:r>
      <w:r>
        <w:t>They can be extremely long</w:t>
      </w:r>
      <w:r w:rsidR="00C16CE8">
        <w:t xml:space="preserve"> (the glyphosate </w:t>
      </w:r>
      <w:proofErr w:type="spellStart"/>
      <w:r w:rsidR="00C16CE8">
        <w:t>RoundUp</w:t>
      </w:r>
      <w:proofErr w:type="spellEnd"/>
      <w:r w:rsidR="00C16CE8">
        <w:t xml:space="preserve"> </w:t>
      </w:r>
      <w:proofErr w:type="spellStart"/>
      <w:r w:rsidR="00D62AC4">
        <w:t>Weathermax</w:t>
      </w:r>
      <w:proofErr w:type="spellEnd"/>
      <w:r w:rsidR="00D62AC4">
        <w:t xml:space="preserve"> </w:t>
      </w:r>
      <w:r w:rsidR="00C16CE8">
        <w:t xml:space="preserve">label is more than </w:t>
      </w:r>
      <w:r w:rsidR="00D62AC4">
        <w:t>100</w:t>
      </w:r>
      <w:r w:rsidR="00C16CE8">
        <w:t xml:space="preserve"> pages long)</w:t>
      </w:r>
      <w:r>
        <w:t xml:space="preserve">. </w:t>
      </w:r>
    </w:p>
    <w:p w14:paraId="66BD6A56" w14:textId="60C8F5A1" w:rsidR="00836C01" w:rsidRDefault="006E7005" w:rsidP="00587A30">
      <w:pPr>
        <w:pStyle w:val="ListParagraph"/>
        <w:numPr>
          <w:ilvl w:val="1"/>
          <w:numId w:val="22"/>
        </w:numPr>
        <w:jc w:val="both"/>
      </w:pPr>
      <w:r>
        <w:t xml:space="preserve">Judgements need to be made on </w:t>
      </w:r>
      <w:r w:rsidR="00A076D5">
        <w:t xml:space="preserve">various factors, such as the </w:t>
      </w:r>
      <w:r>
        <w:t>physiological characteristics of crops</w:t>
      </w:r>
      <w:r w:rsidR="00A076D5">
        <w:t xml:space="preserve"> as an indicator of seed moisture content, whether it will be windy on a certain day, etc</w:t>
      </w:r>
      <w:r>
        <w:t xml:space="preserve">. </w:t>
      </w:r>
    </w:p>
    <w:p w14:paraId="7649AFB1" w14:textId="245C9C18" w:rsidR="00836C01" w:rsidRDefault="00BE0FE4" w:rsidP="00E17C24">
      <w:pPr>
        <w:pStyle w:val="ListParagraph"/>
        <w:numPr>
          <w:ilvl w:val="1"/>
          <w:numId w:val="22"/>
        </w:numPr>
        <w:jc w:val="both"/>
      </w:pPr>
      <w:r>
        <w:t xml:space="preserve">Health Canada reports in its </w:t>
      </w:r>
      <w:hyperlink r:id="rId19" w:history="1">
        <w:r w:rsidRPr="002E59D9">
          <w:rPr>
            <w:rStyle w:val="Hyperlink"/>
            <w:i/>
            <w:iCs/>
          </w:rPr>
          <w:t>Health Canada Pesticides Compliance Program: Activity Report 2020-2021</w:t>
        </w:r>
      </w:hyperlink>
      <w:r>
        <w:t xml:space="preserve"> that "The most common contraventions included the use of pest control products contrary to the approved labels (PCPA 6(5)(b))…</w:t>
      </w:r>
      <w:r w:rsidR="005371D8">
        <w:t>"</w:t>
      </w:r>
      <w:r>
        <w:t xml:space="preserve"> (p. 10) </w:t>
      </w:r>
    </w:p>
    <w:p w14:paraId="78342CE2" w14:textId="7BD721EF" w:rsidR="00836C01" w:rsidRDefault="00D62AC4" w:rsidP="0033629D">
      <w:pPr>
        <w:jc w:val="both"/>
      </w:pPr>
      <w:r>
        <w:t xml:space="preserve">- </w:t>
      </w:r>
      <w:r w:rsidR="00E872A9" w:rsidRPr="00E872A9">
        <w:t>The government of Canada recognized th</w:t>
      </w:r>
      <w:r w:rsidR="00836C01">
        <w:t xml:space="preserve">e problem that the labels </w:t>
      </w:r>
      <w:r w:rsidR="0001637C">
        <w:t xml:space="preserve">are problematic </w:t>
      </w:r>
      <w:r w:rsidR="00836C01">
        <w:t xml:space="preserve">when it </w:t>
      </w:r>
      <w:r w:rsidR="00E872A9" w:rsidRPr="00E872A9">
        <w:t xml:space="preserve">created the </w:t>
      </w:r>
      <w:hyperlink r:id="rId20" w:history="1">
        <w:r w:rsidR="00E872A9" w:rsidRPr="00836C01">
          <w:rPr>
            <w:rStyle w:val="Hyperlink"/>
          </w:rPr>
          <w:t>Pesticide Residue Compensation Act</w:t>
        </w:r>
      </w:hyperlink>
      <w:r w:rsidR="00E872A9" w:rsidRPr="00E872A9">
        <w:t xml:space="preserve">, which compensates farmers when they follow the labels and harm nevertheless results. </w:t>
      </w:r>
    </w:p>
    <w:p w14:paraId="0700DC68" w14:textId="6474CD87" w:rsidR="001A122F" w:rsidRPr="001A122F" w:rsidRDefault="00D62AC4" w:rsidP="0033629D">
      <w:pPr>
        <w:jc w:val="both"/>
      </w:pPr>
      <w:r>
        <w:rPr>
          <w:i/>
          <w:iCs/>
        </w:rPr>
        <w:t xml:space="preserve">- </w:t>
      </w:r>
      <w:hyperlink r:id="rId21" w:history="1">
        <w:r w:rsidR="001A122F" w:rsidRPr="001270A4">
          <w:rPr>
            <w:rStyle w:val="Hyperlink"/>
            <w:i/>
            <w:iCs/>
          </w:rPr>
          <w:t>PMRA Public Opinion Research 2023</w:t>
        </w:r>
      </w:hyperlink>
      <w:r w:rsidR="001A122F">
        <w:rPr>
          <w:i/>
          <w:iCs/>
        </w:rPr>
        <w:t xml:space="preserve"> </w:t>
      </w:r>
      <w:r w:rsidR="001A122F">
        <w:t>shows that Canadians recognize the problems with labels: The research found that "many Canadians believe pesticide</w:t>
      </w:r>
      <w:r w:rsidR="002E59D9">
        <w:t>s</w:t>
      </w:r>
      <w:r w:rsidR="001A122F">
        <w:t xml:space="preserve"> cannot be used safely even when instructions are followed (62%)". </w:t>
      </w:r>
    </w:p>
    <w:p w14:paraId="6194E3F4" w14:textId="2448BD16" w:rsidR="001204C3" w:rsidRDefault="00D62AC4" w:rsidP="001204C3">
      <w:pPr>
        <w:pStyle w:val="NormalWeb"/>
        <w:shd w:val="clear" w:color="auto" w:fill="FFFFFF"/>
        <w:spacing w:before="0" w:beforeAutospacing="0" w:after="300" w:afterAutospacing="0"/>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 </w:t>
      </w:r>
      <w:r w:rsidR="001204C3" w:rsidRPr="006836D2">
        <w:rPr>
          <w:rFonts w:asciiTheme="minorHAnsi" w:eastAsiaTheme="minorEastAsia" w:hAnsiTheme="minorHAnsi" w:cstheme="minorBidi"/>
          <w:sz w:val="22"/>
          <w:szCs w:val="22"/>
          <w:lang w:eastAsia="en-US"/>
        </w:rPr>
        <w:t xml:space="preserve">PMRA </w:t>
      </w:r>
      <w:r w:rsidR="001204C3">
        <w:rPr>
          <w:rFonts w:asciiTheme="minorHAnsi" w:eastAsiaTheme="minorEastAsia" w:hAnsiTheme="minorHAnsi" w:cstheme="minorBidi"/>
          <w:sz w:val="22"/>
          <w:szCs w:val="22"/>
          <w:lang w:eastAsia="en-US"/>
        </w:rPr>
        <w:t xml:space="preserve">assures we are safe and </w:t>
      </w:r>
      <w:r w:rsidR="001204C3" w:rsidRPr="006836D2">
        <w:rPr>
          <w:rFonts w:asciiTheme="minorHAnsi" w:eastAsiaTheme="minorEastAsia" w:hAnsiTheme="minorHAnsi" w:cstheme="minorBidi"/>
          <w:sz w:val="22"/>
          <w:szCs w:val="22"/>
          <w:lang w:eastAsia="en-US"/>
        </w:rPr>
        <w:t>we shouldn’t worry</w:t>
      </w:r>
      <w:r w:rsidR="001204C3">
        <w:rPr>
          <w:rFonts w:asciiTheme="minorHAnsi" w:eastAsiaTheme="minorEastAsia" w:hAnsiTheme="minorHAnsi" w:cstheme="minorBidi"/>
          <w:sz w:val="22"/>
          <w:szCs w:val="22"/>
          <w:lang w:eastAsia="en-US"/>
        </w:rPr>
        <w:t xml:space="preserve"> that Import MRLs might result in high levels of pesticide in Canadian grown foods</w:t>
      </w:r>
      <w:r w:rsidR="001204C3" w:rsidRPr="006836D2">
        <w:rPr>
          <w:rFonts w:asciiTheme="minorHAnsi" w:eastAsiaTheme="minorEastAsia" w:hAnsiTheme="minorHAnsi" w:cstheme="minorBidi"/>
          <w:sz w:val="22"/>
          <w:szCs w:val="22"/>
          <w:lang w:eastAsia="en-US"/>
        </w:rPr>
        <w:t xml:space="preserve">, because </w:t>
      </w:r>
      <w:r w:rsidR="001270A4">
        <w:rPr>
          <w:rFonts w:asciiTheme="minorHAnsi" w:eastAsiaTheme="minorEastAsia" w:hAnsiTheme="minorHAnsi" w:cstheme="minorBidi"/>
          <w:sz w:val="22"/>
          <w:szCs w:val="22"/>
          <w:lang w:eastAsia="en-US"/>
        </w:rPr>
        <w:t xml:space="preserve">they say </w:t>
      </w:r>
      <w:r w:rsidR="001204C3" w:rsidRPr="006836D2">
        <w:rPr>
          <w:rFonts w:asciiTheme="minorHAnsi" w:eastAsiaTheme="minorEastAsia" w:hAnsiTheme="minorHAnsi" w:cstheme="minorBidi"/>
          <w:sz w:val="22"/>
          <w:szCs w:val="22"/>
          <w:lang w:eastAsia="en-US"/>
        </w:rPr>
        <w:t xml:space="preserve">when the labels for spraying in Canada are followed, there won’t be high levels on Canadian grown foods. The </w:t>
      </w:r>
      <w:r w:rsidR="001204C3">
        <w:rPr>
          <w:rFonts w:asciiTheme="minorHAnsi" w:eastAsiaTheme="minorEastAsia" w:hAnsiTheme="minorHAnsi" w:cstheme="minorBidi"/>
          <w:sz w:val="22"/>
          <w:szCs w:val="22"/>
          <w:lang w:eastAsia="en-US"/>
        </w:rPr>
        <w:t xml:space="preserve">above examples show this not the case.  </w:t>
      </w:r>
    </w:p>
    <w:p w14:paraId="52A2C1C4" w14:textId="7A87C947" w:rsidR="001204C3" w:rsidRDefault="00D62AC4" w:rsidP="001204C3">
      <w:pPr>
        <w:jc w:val="both"/>
      </w:pPr>
      <w:r>
        <w:t xml:space="preserve">- </w:t>
      </w:r>
      <w:r w:rsidR="006836D2">
        <w:t xml:space="preserve">A further </w:t>
      </w:r>
      <w:r w:rsidR="006F4E03" w:rsidRPr="006836D2">
        <w:t xml:space="preserve">problem is no one checks on how pesticides are sprayed on the field in Canada, </w:t>
      </w:r>
      <w:r w:rsidR="006836D2">
        <w:t xml:space="preserve">which means </w:t>
      </w:r>
      <w:r w:rsidR="001204C3">
        <w:t xml:space="preserve">PMRA's assurance </w:t>
      </w:r>
      <w:r w:rsidR="006F4E03" w:rsidRPr="006836D2">
        <w:t>is an </w:t>
      </w:r>
      <w:r w:rsidR="006F4E03" w:rsidRPr="006836D2">
        <w:rPr>
          <w:b/>
          <w:bCs/>
        </w:rPr>
        <w:t>empty assurance</w:t>
      </w:r>
      <w:r w:rsidR="006836D2">
        <w:rPr>
          <w:b/>
          <w:bCs/>
        </w:rPr>
        <w:t xml:space="preserve"> without any possibility of verification</w:t>
      </w:r>
      <w:r w:rsidR="006F4E03" w:rsidRPr="006836D2">
        <w:t>.</w:t>
      </w:r>
      <w:r w:rsidR="001204C3">
        <w:t xml:space="preserve"> </w:t>
      </w:r>
    </w:p>
    <w:p w14:paraId="4B26A700" w14:textId="65135734" w:rsidR="001204C3" w:rsidRDefault="001204C3" w:rsidP="001204C3">
      <w:pPr>
        <w:jc w:val="both"/>
      </w:pPr>
      <w:r w:rsidRPr="005D51FE">
        <w:rPr>
          <w:b/>
          <w:bCs/>
        </w:rPr>
        <w:t>The field studies for labels need verification to ensure that the directions for use correspond to the expected pesticide levels in each crop covered by that label. Checks are required in the field to ensure that application occurs as required by the labels</w:t>
      </w:r>
      <w:r w:rsidRPr="00E872A9">
        <w:t xml:space="preserve">. </w:t>
      </w:r>
    </w:p>
    <w:p w14:paraId="112E7C81" w14:textId="56B0FC44" w:rsidR="00E351FA" w:rsidRPr="00F96CB4" w:rsidRDefault="00D62AC4" w:rsidP="00D62AC4">
      <w:pPr>
        <w:spacing w:before="240" w:after="240" w:line="240" w:lineRule="auto"/>
        <w:rPr>
          <w:rFonts w:ascii="Times New Roman" w:eastAsia="Times New Roman" w:hAnsi="Times New Roman" w:cs="Times New Roman"/>
          <w:sz w:val="24"/>
          <w:szCs w:val="24"/>
          <w:lang w:eastAsia="en-CA"/>
        </w:rPr>
      </w:pPr>
      <w:bookmarkStart w:id="16" w:name="_Toc145431569"/>
      <w:r w:rsidRPr="002671E2">
        <w:rPr>
          <w:rStyle w:val="Heading3Char"/>
        </w:rPr>
        <w:t xml:space="preserve">- </w:t>
      </w:r>
      <w:r w:rsidR="00FF47ED" w:rsidRPr="002671E2">
        <w:rPr>
          <w:rStyle w:val="Heading3Char"/>
        </w:rPr>
        <w:t>Harms Organic Industry</w:t>
      </w:r>
      <w:bookmarkEnd w:id="16"/>
      <w:r w:rsidR="00FF47ED">
        <w:rPr>
          <w:rFonts w:eastAsia="Times New Roman" w:cstheme="minorHAnsi"/>
          <w:color w:val="000000"/>
          <w:lang w:eastAsia="en-CA"/>
        </w:rPr>
        <w:t xml:space="preserve">. </w:t>
      </w:r>
      <w:r w:rsidR="00E351FA" w:rsidRPr="00E351FA">
        <w:rPr>
          <w:rFonts w:eastAsia="Times New Roman" w:cstheme="minorHAnsi"/>
          <w:color w:val="000000"/>
          <w:lang w:eastAsia="en-CA"/>
        </w:rPr>
        <w:t>Third, setting higher MRLs establish</w:t>
      </w:r>
      <w:r w:rsidR="003E4FB3">
        <w:rPr>
          <w:rFonts w:eastAsia="Times New Roman" w:cstheme="minorHAnsi"/>
          <w:color w:val="000000"/>
          <w:lang w:eastAsia="en-CA"/>
        </w:rPr>
        <w:t>es</w:t>
      </w:r>
      <w:r w:rsidR="00E351FA" w:rsidRPr="00E351FA">
        <w:rPr>
          <w:rFonts w:eastAsia="Times New Roman" w:cstheme="minorHAnsi"/>
          <w:color w:val="000000"/>
          <w:lang w:eastAsia="en-CA"/>
        </w:rPr>
        <w:t xml:space="preserve"> standards for the Canadian organic industry that likely cause harm to that industry. The Canadian organic standard for residues is 5% of the MRL for its conventional counterpart, so raising the MRL</w:t>
      </w:r>
      <w:r>
        <w:rPr>
          <w:rFonts w:eastAsia="Times New Roman" w:cstheme="minorHAnsi"/>
          <w:color w:val="000000"/>
          <w:lang w:eastAsia="en-CA"/>
        </w:rPr>
        <w:t xml:space="preserve">s </w:t>
      </w:r>
      <w:r w:rsidR="00E351FA" w:rsidRPr="00E351FA">
        <w:rPr>
          <w:rFonts w:eastAsia="Times New Roman" w:cstheme="minorHAnsi"/>
          <w:color w:val="000000"/>
          <w:lang w:eastAsia="en-CA"/>
        </w:rPr>
        <w:t>result</w:t>
      </w:r>
      <w:r>
        <w:rPr>
          <w:rFonts w:eastAsia="Times New Roman" w:cstheme="minorHAnsi"/>
          <w:color w:val="000000"/>
          <w:lang w:eastAsia="en-CA"/>
        </w:rPr>
        <w:t>s</w:t>
      </w:r>
      <w:r w:rsidR="00E351FA" w:rsidRPr="00E351FA">
        <w:rPr>
          <w:rFonts w:eastAsia="Times New Roman" w:cstheme="minorHAnsi"/>
          <w:color w:val="000000"/>
          <w:lang w:eastAsia="en-CA"/>
        </w:rPr>
        <w:t xml:space="preserve"> in a higher allowed residue level for Canadian organic exports and</w:t>
      </w:r>
      <w:r>
        <w:rPr>
          <w:rFonts w:eastAsia="Times New Roman" w:cstheme="minorHAnsi"/>
          <w:color w:val="000000"/>
          <w:lang w:eastAsia="en-CA"/>
        </w:rPr>
        <w:t xml:space="preserve"> </w:t>
      </w:r>
      <w:r w:rsidR="00E351FA" w:rsidRPr="00E351FA">
        <w:rPr>
          <w:rFonts w:eastAsia="Times New Roman" w:cstheme="minorHAnsi"/>
          <w:color w:val="000000"/>
          <w:lang w:eastAsia="en-CA"/>
        </w:rPr>
        <w:t>also present</w:t>
      </w:r>
      <w:r>
        <w:rPr>
          <w:rFonts w:eastAsia="Times New Roman" w:cstheme="minorHAnsi"/>
          <w:color w:val="000000"/>
          <w:lang w:eastAsia="en-CA"/>
        </w:rPr>
        <w:t>s</w:t>
      </w:r>
      <w:r w:rsidR="00E351FA" w:rsidRPr="00E351FA">
        <w:rPr>
          <w:rFonts w:eastAsia="Times New Roman" w:cstheme="minorHAnsi"/>
          <w:color w:val="000000"/>
          <w:lang w:eastAsia="en-CA"/>
        </w:rPr>
        <w:t xml:space="preserve"> the risk</w:t>
      </w:r>
      <w:r>
        <w:rPr>
          <w:rFonts w:eastAsia="Times New Roman" w:cstheme="minorHAnsi"/>
          <w:color w:val="000000"/>
          <w:lang w:eastAsia="en-CA"/>
        </w:rPr>
        <w:t xml:space="preserve"> </w:t>
      </w:r>
      <w:r w:rsidR="00E351FA" w:rsidRPr="00E351FA">
        <w:rPr>
          <w:rFonts w:eastAsia="Times New Roman" w:cstheme="minorHAnsi"/>
          <w:color w:val="000000"/>
          <w:lang w:eastAsia="en-CA"/>
        </w:rPr>
        <w:t xml:space="preserve">that applications in Canada will increase.  This will likely cause trade problems for Canadian organic exporters </w:t>
      </w:r>
      <w:r w:rsidR="00E351FA" w:rsidRPr="00E351FA">
        <w:rPr>
          <w:rFonts w:eastAsia="Times New Roman" w:cstheme="minorHAnsi"/>
          <w:color w:val="000000"/>
          <w:lang w:eastAsia="en-CA"/>
        </w:rPr>
        <w:lastRenderedPageBreak/>
        <w:t xml:space="preserve">because buyers of organic seek and test for low levels of pesticides on food, and also because it will likely cause higher levels of residues in organic products because of drift from neighbouring non-organic farms. Exports to sensitive markets such as Korea (zero tolerance) and Japan would be especially impacted.  Such problems arising from contamination are documented in this </w:t>
      </w:r>
      <w:hyperlink r:id="rId22" w:history="1">
        <w:r w:rsidR="00E351FA" w:rsidRPr="00E351FA">
          <w:rPr>
            <w:rFonts w:eastAsia="Times New Roman" w:cstheme="minorHAnsi"/>
            <w:color w:val="1155CC"/>
            <w:u w:val="single"/>
            <w:lang w:eastAsia="en-CA"/>
          </w:rPr>
          <w:t>Report</w:t>
        </w:r>
      </w:hyperlink>
      <w:r w:rsidR="00E351FA" w:rsidRPr="00E351FA">
        <w:rPr>
          <w:rFonts w:eastAsia="Times New Roman" w:cstheme="minorHAnsi"/>
          <w:color w:val="000000"/>
          <w:lang w:eastAsia="en-CA"/>
        </w:rPr>
        <w:t>. Although the report is focused on glyphosate, the issues would be similar for other pesticides. Furthermore, it should be noted that issues with trade do not impact only one production system. Any unacceptable level of contamination in either organic or conventional risks the reputation for Canadian exports and may impact more products than just the original ones with the contamination</w:t>
      </w:r>
      <w:r w:rsidR="00E351FA" w:rsidRPr="00F96CB4">
        <w:rPr>
          <w:rFonts w:ascii="Times New Roman" w:eastAsia="Times New Roman" w:hAnsi="Times New Roman" w:cs="Times New Roman"/>
          <w:color w:val="000000"/>
          <w:lang w:eastAsia="en-CA"/>
        </w:rPr>
        <w:t>. </w:t>
      </w:r>
    </w:p>
    <w:p w14:paraId="2AE3BB04" w14:textId="2A382B25" w:rsidR="00024D67" w:rsidRPr="002671E2" w:rsidRDefault="009E5BA3" w:rsidP="002671E2">
      <w:pPr>
        <w:pStyle w:val="Heading2"/>
      </w:pPr>
      <w:bookmarkStart w:id="17" w:name="_Hlk143692955"/>
      <w:bookmarkStart w:id="18" w:name="_Toc145431570"/>
      <w:r w:rsidRPr="002671E2">
        <w:t xml:space="preserve">There is no Need </w:t>
      </w:r>
      <w:bookmarkEnd w:id="17"/>
      <w:r w:rsidR="0009445B" w:rsidRPr="002671E2">
        <w:t>for Imposing the Higher MRL</w:t>
      </w:r>
      <w:bookmarkEnd w:id="18"/>
      <w:r w:rsidR="0009445B" w:rsidRPr="002671E2">
        <w:t xml:space="preserve">  </w:t>
      </w:r>
    </w:p>
    <w:p w14:paraId="094C618A" w14:textId="510DC229" w:rsidR="00F96419" w:rsidRDefault="009E5BA3" w:rsidP="00F96419">
      <w:pPr>
        <w:jc w:val="both"/>
      </w:pPr>
      <w:r>
        <w:t xml:space="preserve">There is no need for Health Canada to require that the </w:t>
      </w:r>
      <w:r w:rsidR="00D62AC4">
        <w:t xml:space="preserve">level of the </w:t>
      </w:r>
      <w:r>
        <w:t xml:space="preserve">higher </w:t>
      </w:r>
      <w:r w:rsidR="00D62AC4">
        <w:t>I</w:t>
      </w:r>
      <w:r>
        <w:t xml:space="preserve">mport MRL be the legal Canadian MRL on a specific food type.  </w:t>
      </w:r>
      <w:r w:rsidR="00F96419">
        <w:t>As explained, h</w:t>
      </w:r>
      <w:r>
        <w:t xml:space="preserve">aving a Canadian </w:t>
      </w:r>
      <w:r w:rsidR="00F96419">
        <w:t xml:space="preserve">only </w:t>
      </w:r>
      <w:r>
        <w:t xml:space="preserve">MRL for food grown in Canada according to Canadian labels makes sense, </w:t>
      </w:r>
      <w:r w:rsidR="0009445B">
        <w:t xml:space="preserve">meets PMRA's definition of an MRL, </w:t>
      </w:r>
      <w:r>
        <w:t xml:space="preserve">and provides a standard for safety needed in order to protect Canadians.  </w:t>
      </w:r>
    </w:p>
    <w:p w14:paraId="485C839F" w14:textId="016204BB" w:rsidR="00F96419" w:rsidRDefault="0009445B" w:rsidP="00F96419">
      <w:pPr>
        <w:jc w:val="both"/>
      </w:pPr>
      <w:r>
        <w:t xml:space="preserve">Also, PMRA can get information on the </w:t>
      </w:r>
      <w:r w:rsidR="009E5BA3">
        <w:t>quantit</w:t>
      </w:r>
      <w:r>
        <w:t>ies</w:t>
      </w:r>
      <w:r w:rsidR="009E5BA3">
        <w:t xml:space="preserve"> of a food type</w:t>
      </w:r>
      <w:r>
        <w:t xml:space="preserve"> that is imported into and also grown in Canada, </w:t>
      </w:r>
      <w:r w:rsidR="009E5BA3">
        <w:t xml:space="preserve">and such </w:t>
      </w:r>
      <w:r w:rsidR="00F96419">
        <w:t xml:space="preserve">ratio </w:t>
      </w:r>
      <w:r w:rsidR="009E5BA3">
        <w:t xml:space="preserve">information could be used </w:t>
      </w:r>
      <w:r w:rsidR="00F96419">
        <w:t xml:space="preserve">by PMRA in its dietary </w:t>
      </w:r>
      <w:r w:rsidR="001270A4">
        <w:t xml:space="preserve">exposure </w:t>
      </w:r>
      <w:r w:rsidR="00F96419">
        <w:t>assessment. There is no need to assume the higher level for all quantities of the food type in the DEA. (PMRA calls this "protective</w:t>
      </w:r>
      <w:r w:rsidR="001270A4">
        <w:t>"</w:t>
      </w:r>
      <w:r w:rsidR="00F96419">
        <w:t xml:space="preserve">, when it is actually just inaccurate).  In fact, PMRA has </w:t>
      </w:r>
      <w:r w:rsidR="001D731C">
        <w:t xml:space="preserve">resorted to using </w:t>
      </w:r>
      <w:r w:rsidR="00F96419">
        <w:t xml:space="preserve">such </w:t>
      </w:r>
      <w:r w:rsidR="001D731C">
        <w:t>import/export information before, as in its proposed re-valuation decision for glyphosate, PRVD 2015-01.</w:t>
      </w:r>
      <w:r w:rsidR="00F96419">
        <w:t xml:space="preserve"> </w:t>
      </w:r>
    </w:p>
    <w:p w14:paraId="6A0C8F1B" w14:textId="08BD70DD" w:rsidR="0009445B" w:rsidRDefault="0009445B" w:rsidP="00F96419">
      <w:pPr>
        <w:jc w:val="both"/>
      </w:pPr>
      <w:r>
        <w:t xml:space="preserve">Having distinct MRLs for imported and Canadian grown food makes sense. </w:t>
      </w:r>
    </w:p>
    <w:p w14:paraId="7A256A19" w14:textId="4E2C2610" w:rsidR="00F96419" w:rsidRPr="002671E2" w:rsidRDefault="00AC3F5B" w:rsidP="002671E2">
      <w:pPr>
        <w:pStyle w:val="Heading2"/>
      </w:pPr>
      <w:bookmarkStart w:id="19" w:name="_Toc145431571"/>
      <w:r w:rsidRPr="002671E2">
        <w:t xml:space="preserve">PMRA </w:t>
      </w:r>
      <w:r w:rsidR="00D62AC4" w:rsidRPr="002671E2">
        <w:t>I</w:t>
      </w:r>
      <w:r w:rsidRPr="002671E2">
        <w:t>nsists on Just One MRL</w:t>
      </w:r>
      <w:bookmarkEnd w:id="19"/>
    </w:p>
    <w:p w14:paraId="70F96656" w14:textId="5BC85155" w:rsidR="000279CD" w:rsidRDefault="00F96CB4" w:rsidP="007D0CC0">
      <w:pPr>
        <w:jc w:val="both"/>
      </w:pPr>
      <w:r>
        <w:t>PMRA</w:t>
      </w:r>
      <w:r w:rsidR="0009445B">
        <w:t xml:space="preserve"> has provided </w:t>
      </w:r>
      <w:r w:rsidR="000279CD">
        <w:t xml:space="preserve">two </w:t>
      </w:r>
      <w:r w:rsidR="0009445B">
        <w:t>reasons for not having two MRLs.</w:t>
      </w:r>
      <w:r w:rsidR="00D74C2A">
        <w:t xml:space="preserve"> </w:t>
      </w:r>
      <w:r w:rsidR="008734EC">
        <w:t>First, a</w:t>
      </w:r>
      <w:r w:rsidR="00D74C2A">
        <w:t xml:space="preserve"> regime that allows for two MRLs </w:t>
      </w:r>
      <w:r w:rsidR="000279CD">
        <w:t>doesn't line up with our "international trading partners", and</w:t>
      </w:r>
      <w:r w:rsidR="008734EC">
        <w:t xml:space="preserve"> second,</w:t>
      </w:r>
      <w:r w:rsidR="000279CD">
        <w:t xml:space="preserve"> the Canada Food Inspection Agency (CFIA) would find it hard to enforce. </w:t>
      </w:r>
      <w:r w:rsidR="00DC3D8B">
        <w:t xml:space="preserve"> </w:t>
      </w:r>
      <w:r w:rsidR="009F4496">
        <w:t>We don't think these are good reasons:</w:t>
      </w:r>
      <w:r w:rsidR="00DC3D8B">
        <w:t xml:space="preserve"> </w:t>
      </w:r>
    </w:p>
    <w:p w14:paraId="12E88409" w14:textId="77777777" w:rsidR="00364FCB" w:rsidRDefault="000279CD" w:rsidP="0009445B">
      <w:pPr>
        <w:pStyle w:val="ListParagraph"/>
        <w:numPr>
          <w:ilvl w:val="0"/>
          <w:numId w:val="23"/>
        </w:numPr>
        <w:jc w:val="both"/>
      </w:pPr>
      <w:r>
        <w:rPr>
          <w:u w:val="single"/>
        </w:rPr>
        <w:t>Not in line.</w:t>
      </w:r>
      <w:r w:rsidR="00F96419">
        <w:t xml:space="preserve">  </w:t>
      </w:r>
      <w:r>
        <w:t xml:space="preserve">In an email exchange, PMRA indicated that </w:t>
      </w:r>
      <w:r w:rsidR="00F96CB4" w:rsidRPr="00F96CB4">
        <w:t xml:space="preserve">“Canada is aligned with the internationally accepted best practice of </w:t>
      </w:r>
      <w:r w:rsidR="00F96CB4" w:rsidRPr="0009445B">
        <w:rPr>
          <w:b/>
          <w:bCs/>
        </w:rPr>
        <w:t>specifying only one MRL</w:t>
      </w:r>
      <w:r w:rsidR="00F96CB4" w:rsidRPr="00F96CB4">
        <w:t xml:space="preserve">” and that </w:t>
      </w:r>
    </w:p>
    <w:p w14:paraId="1F0AD804" w14:textId="7BF57723" w:rsidR="009F4496" w:rsidRDefault="00F96CB4" w:rsidP="0009445B">
      <w:pPr>
        <w:pStyle w:val="ListParagraph"/>
        <w:numPr>
          <w:ilvl w:val="0"/>
          <w:numId w:val="23"/>
        </w:numPr>
        <w:jc w:val="both"/>
      </w:pPr>
      <w:r w:rsidRPr="00F96CB4">
        <w:t xml:space="preserve">having a separate MRL for Canada would “have [an] unnecessary impact on food trade as it would be out of line with our international trading partners”. </w:t>
      </w:r>
      <w:r w:rsidR="00A163EE">
        <w:t xml:space="preserve"> </w:t>
      </w:r>
    </w:p>
    <w:p w14:paraId="17119B0D" w14:textId="3B276DBD" w:rsidR="004B4191" w:rsidRDefault="009F4496" w:rsidP="009F4496">
      <w:pPr>
        <w:pStyle w:val="ListParagraph"/>
        <w:numPr>
          <w:ilvl w:val="1"/>
          <w:numId w:val="23"/>
        </w:numPr>
      </w:pPr>
      <w:r>
        <w:t>Response</w:t>
      </w:r>
      <w:r w:rsidR="004B4191">
        <w:t xml:space="preserve"> 1</w:t>
      </w:r>
      <w:r>
        <w:t xml:space="preserve">: </w:t>
      </w:r>
      <w:r w:rsidR="000279CD">
        <w:t xml:space="preserve"> </w:t>
      </w:r>
      <w:r w:rsidR="00DC3D8B">
        <w:t xml:space="preserve">It just so happens </w:t>
      </w:r>
      <w:r w:rsidR="001D731C">
        <w:t>many or all of</w:t>
      </w:r>
      <w:r w:rsidR="00DC3D8B">
        <w:t xml:space="preserve"> these trading partners have adopted the </w:t>
      </w:r>
      <w:r w:rsidR="001D731C">
        <w:t>Global Biodiversity Framework,</w:t>
      </w:r>
      <w:r w:rsidR="00DC3D8B">
        <w:t xml:space="preserve"> which </w:t>
      </w:r>
      <w:r w:rsidR="001D731C">
        <w:t>calls for a reduction in the risk of pesticide, not the increased risk posed by adopting Import MRLs as domestic MRLs.</w:t>
      </w:r>
      <w:r w:rsidR="00DC3D8B">
        <w:t xml:space="preserve"> </w:t>
      </w:r>
      <w:r w:rsidR="004B4191">
        <w:br/>
      </w:r>
      <w:r w:rsidR="00DC3D8B">
        <w:t xml:space="preserve"> </w:t>
      </w:r>
    </w:p>
    <w:p w14:paraId="6114DA20" w14:textId="551FCD57" w:rsidR="004B4191" w:rsidRDefault="004B4191" w:rsidP="004B4191">
      <w:pPr>
        <w:pStyle w:val="ListParagraph"/>
        <w:numPr>
          <w:ilvl w:val="1"/>
          <w:numId w:val="23"/>
        </w:numPr>
      </w:pPr>
      <w:r>
        <w:t xml:space="preserve">Response 2: The PMRA is not supposed to be concerned with "impacts on food trade". Health Canada is supposed to worry about the health of Canadians.  In fact, the primary job of the Minister of Health on pesticides is to protect Canadians and the environment from unacceptable risks to pesticides, and when it comes to setting MRLs, </w:t>
      </w:r>
      <w:r w:rsidRPr="001270A4">
        <w:rPr>
          <w:b/>
          <w:bCs/>
        </w:rPr>
        <w:t>the Minister of Health is supposed to evaluate only the health risks</w:t>
      </w:r>
      <w:r>
        <w:t xml:space="preserve"> of the pesticide (s. 10(3)). </w:t>
      </w:r>
      <w:r>
        <w:br/>
      </w:r>
    </w:p>
    <w:p w14:paraId="15FD1A99" w14:textId="22E81C92" w:rsidR="00D44D04" w:rsidRDefault="004B4191" w:rsidP="004B4191">
      <w:pPr>
        <w:pStyle w:val="ListParagraph"/>
        <w:ind w:left="1540"/>
      </w:pPr>
      <w:r>
        <w:t xml:space="preserve">Health Canada has abdicated its responsibility to Canadians and our health by legislating import MRLs onto Canadian food.  </w:t>
      </w:r>
    </w:p>
    <w:p w14:paraId="17AE7055" w14:textId="77777777" w:rsidR="001D731C" w:rsidRDefault="001D731C" w:rsidP="004B4191">
      <w:pPr>
        <w:pStyle w:val="ListParagraph"/>
        <w:ind w:left="1540"/>
      </w:pPr>
    </w:p>
    <w:p w14:paraId="50772C48" w14:textId="684A3881" w:rsidR="00D44D04" w:rsidRPr="001D731C" w:rsidRDefault="00D44D04" w:rsidP="00D44D04">
      <w:pPr>
        <w:pStyle w:val="ListParagraph"/>
        <w:numPr>
          <w:ilvl w:val="1"/>
          <w:numId w:val="23"/>
        </w:numPr>
        <w:spacing w:before="240" w:after="240" w:line="240" w:lineRule="auto"/>
        <w:rPr>
          <w:rFonts w:ascii="Times New Roman" w:eastAsia="Times New Roman" w:hAnsi="Times New Roman" w:cs="Times New Roman"/>
          <w:sz w:val="24"/>
          <w:szCs w:val="24"/>
          <w:lang w:eastAsia="en-CA"/>
        </w:rPr>
      </w:pPr>
      <w:r w:rsidRPr="001D731C">
        <w:rPr>
          <w:rFonts w:eastAsia="Times New Roman" w:cstheme="minorHAnsi"/>
          <w:color w:val="000000"/>
          <w:lang w:eastAsia="en-CA"/>
        </w:rPr>
        <w:t xml:space="preserve">The PMRA points to the </w:t>
      </w:r>
      <w:hyperlink r:id="rId23" w:history="1">
        <w:r w:rsidRPr="001D731C">
          <w:rPr>
            <w:rFonts w:eastAsia="Times New Roman" w:cstheme="minorHAnsi"/>
            <w:color w:val="1155CC"/>
            <w:u w:val="single"/>
            <w:lang w:eastAsia="en-CA"/>
          </w:rPr>
          <w:t>Agreement on Sanitary and Ph</w:t>
        </w:r>
        <w:r w:rsidR="006330E0">
          <w:rPr>
            <w:rFonts w:eastAsia="Times New Roman" w:cstheme="minorHAnsi"/>
            <w:color w:val="1155CC"/>
            <w:u w:val="single"/>
            <w:lang w:eastAsia="en-CA"/>
          </w:rPr>
          <w:t>y</w:t>
        </w:r>
        <w:r w:rsidRPr="001D731C">
          <w:rPr>
            <w:rFonts w:eastAsia="Times New Roman" w:cstheme="minorHAnsi"/>
            <w:color w:val="1155CC"/>
            <w:u w:val="single"/>
            <w:lang w:eastAsia="en-CA"/>
          </w:rPr>
          <w:t>tosanitary Measures</w:t>
        </w:r>
      </w:hyperlink>
      <w:r w:rsidRPr="001D731C">
        <w:rPr>
          <w:rFonts w:eastAsia="Times New Roman" w:cstheme="minorHAnsi"/>
          <w:color w:val="000000"/>
          <w:lang w:eastAsia="en-CA"/>
        </w:rPr>
        <w:t xml:space="preserve"> (SPS Agreement) as setting out an “international trade obligation” for Canada to align to the extent possible with the </w:t>
      </w:r>
      <w:r w:rsidR="00C20EB2">
        <w:rPr>
          <w:rFonts w:eastAsia="Times New Roman" w:cstheme="minorHAnsi"/>
          <w:color w:val="000000"/>
          <w:lang w:eastAsia="en-CA"/>
        </w:rPr>
        <w:lastRenderedPageBreak/>
        <w:t xml:space="preserve">international </w:t>
      </w:r>
      <w:r w:rsidRPr="001D731C">
        <w:rPr>
          <w:rFonts w:eastAsia="Times New Roman" w:cstheme="minorHAnsi"/>
          <w:color w:val="000000"/>
          <w:lang w:eastAsia="en-CA"/>
        </w:rPr>
        <w:t xml:space="preserve">Codex MRLs. The focus of the SPS Agreement is on preventing protectionist barriers to trade. It explicitly allows countries to set their own standards, and if such standards result in a greater restriction of trade, a country may be asked to provide scientific justification.  (A recent somewhat related example is the </w:t>
      </w:r>
      <w:hyperlink r:id="rId24" w:history="1">
        <w:r w:rsidRPr="001D731C">
          <w:rPr>
            <w:rFonts w:eastAsia="Times New Roman" w:cstheme="minorHAnsi"/>
            <w:color w:val="1155CC"/>
            <w:u w:val="single"/>
            <w:lang w:eastAsia="en-CA"/>
          </w:rPr>
          <w:t>rejection</w:t>
        </w:r>
      </w:hyperlink>
      <w:r w:rsidRPr="001D731C">
        <w:rPr>
          <w:rFonts w:eastAsia="Times New Roman" w:cstheme="minorHAnsi"/>
          <w:color w:val="000000"/>
          <w:lang w:eastAsia="en-CA"/>
        </w:rPr>
        <w:t xml:space="preserve"> of Canadian hormone-treated beef by the United Kingdom under the SPS Agreement). In the case of setting both an </w:t>
      </w:r>
      <w:r w:rsidR="00C20EB2">
        <w:rPr>
          <w:rFonts w:eastAsia="Times New Roman" w:cstheme="minorHAnsi"/>
          <w:color w:val="000000"/>
          <w:lang w:eastAsia="en-CA"/>
        </w:rPr>
        <w:t>I</w:t>
      </w:r>
      <w:r w:rsidRPr="001D731C">
        <w:rPr>
          <w:rFonts w:eastAsia="Times New Roman" w:cstheme="minorHAnsi"/>
          <w:color w:val="000000"/>
          <w:lang w:eastAsia="en-CA"/>
        </w:rPr>
        <w:t xml:space="preserve">mport and a domestic MRL, </w:t>
      </w:r>
      <w:r w:rsidR="00070F36">
        <w:rPr>
          <w:rFonts w:eastAsia="Times New Roman" w:cstheme="minorHAnsi"/>
          <w:color w:val="000000"/>
          <w:lang w:eastAsia="en-CA"/>
        </w:rPr>
        <w:t>there is scientific justification, as we have shown. There is also no</w:t>
      </w:r>
      <w:r w:rsidRPr="001D731C">
        <w:rPr>
          <w:rFonts w:eastAsia="Times New Roman" w:cstheme="minorHAnsi"/>
          <w:color w:val="000000"/>
          <w:lang w:eastAsia="en-CA"/>
        </w:rPr>
        <w:t xml:space="preserve"> protectionist restriction on trade</w:t>
      </w:r>
      <w:r w:rsidRPr="001D731C">
        <w:rPr>
          <w:rFonts w:ascii="Times New Roman" w:eastAsia="Times New Roman" w:hAnsi="Times New Roman" w:cs="Times New Roman"/>
          <w:color w:val="000000"/>
          <w:lang w:eastAsia="en-CA"/>
        </w:rPr>
        <w:t>. </w:t>
      </w:r>
      <w:r w:rsidR="001D731C">
        <w:rPr>
          <w:rFonts w:ascii="Times New Roman" w:eastAsia="Times New Roman" w:hAnsi="Times New Roman" w:cs="Times New Roman"/>
          <w:color w:val="000000"/>
          <w:lang w:eastAsia="en-CA"/>
        </w:rPr>
        <w:br/>
      </w:r>
    </w:p>
    <w:p w14:paraId="42A08D78" w14:textId="24600A3D" w:rsidR="001D731C" w:rsidRPr="001D731C" w:rsidRDefault="001D731C" w:rsidP="00D44D04">
      <w:pPr>
        <w:pStyle w:val="ListParagraph"/>
        <w:numPr>
          <w:ilvl w:val="1"/>
          <w:numId w:val="23"/>
        </w:numPr>
        <w:spacing w:before="240" w:after="240" w:line="240" w:lineRule="auto"/>
        <w:rPr>
          <w:rFonts w:ascii="Times New Roman" w:eastAsia="Times New Roman" w:hAnsi="Times New Roman" w:cs="Times New Roman"/>
          <w:sz w:val="24"/>
          <w:szCs w:val="24"/>
          <w:lang w:eastAsia="en-CA"/>
        </w:rPr>
      </w:pPr>
      <w:r>
        <w:t xml:space="preserve">PMRA is acting contrary to Canada's commitment to </w:t>
      </w:r>
      <w:hyperlink r:id="rId25" w:history="1">
        <w:r w:rsidRPr="003000DF">
          <w:rPr>
            <w:rStyle w:val="Hyperlink"/>
          </w:rPr>
          <w:t>Target</w:t>
        </w:r>
      </w:hyperlink>
      <w:r>
        <w:t xml:space="preserve"> 7 under the Global Biodiversity Framework.</w:t>
      </w:r>
    </w:p>
    <w:p w14:paraId="421A8605" w14:textId="0ABB6666" w:rsidR="007337D8" w:rsidRDefault="007337D8" w:rsidP="001D731C">
      <w:pPr>
        <w:pStyle w:val="ListParagraph"/>
        <w:ind w:left="1540"/>
      </w:pPr>
    </w:p>
    <w:p w14:paraId="5B5D9542" w14:textId="34D9941A" w:rsidR="00F96CB4" w:rsidRDefault="001A2902" w:rsidP="007D0CC0">
      <w:pPr>
        <w:pStyle w:val="ListParagraph"/>
        <w:numPr>
          <w:ilvl w:val="0"/>
          <w:numId w:val="23"/>
        </w:numPr>
        <w:jc w:val="both"/>
      </w:pPr>
      <w:r>
        <w:rPr>
          <w:u w:val="single"/>
        </w:rPr>
        <w:t xml:space="preserve">Too </w:t>
      </w:r>
      <w:r w:rsidR="0048699D">
        <w:rPr>
          <w:u w:val="single"/>
        </w:rPr>
        <w:t>Difficult</w:t>
      </w:r>
      <w:r>
        <w:rPr>
          <w:u w:val="single"/>
        </w:rPr>
        <w:t>.</w:t>
      </w:r>
      <w:r>
        <w:t xml:space="preserve"> </w:t>
      </w:r>
      <w:r w:rsidR="007337D8">
        <w:t xml:space="preserve">PMRA has said </w:t>
      </w:r>
      <w:r w:rsidR="00A163EE">
        <w:t xml:space="preserve">it would be "operationally difficult" for </w:t>
      </w:r>
      <w:r w:rsidR="0095231D" w:rsidRPr="0095231D">
        <w:t xml:space="preserve">inspection agencies </w:t>
      </w:r>
      <w:r>
        <w:t xml:space="preserve">to </w:t>
      </w:r>
      <w:r w:rsidR="0095231D" w:rsidRPr="0095231D">
        <w:t xml:space="preserve">have to check for compliance with </w:t>
      </w:r>
      <w:r w:rsidR="00557737">
        <w:t>two levels.  I</w:t>
      </w:r>
      <w:r w:rsidR="0048699D">
        <w:t>n the same email exchange, PMRA indicated i</w:t>
      </w:r>
      <w:r w:rsidR="000279CD">
        <w:t xml:space="preserve">t </w:t>
      </w:r>
      <w:r>
        <w:t xml:space="preserve">would be difficult to </w:t>
      </w:r>
      <w:r w:rsidR="00557737">
        <w:t>enforc</w:t>
      </w:r>
      <w:r>
        <w:t xml:space="preserve">e </w:t>
      </w:r>
      <w:r w:rsidR="00557737">
        <w:t xml:space="preserve">two MRLs, for reasons that (a) "in many cases, the CFIA is unable to differentiate what food commodities were produced domestically from those that were imported"; </w:t>
      </w:r>
      <w:r w:rsidR="0095231D">
        <w:t xml:space="preserve"> </w:t>
      </w:r>
      <w:r w:rsidR="00557737">
        <w:t>(b) "</w:t>
      </w:r>
      <w:r w:rsidR="00557737" w:rsidRPr="00557737">
        <w:t>many products are made</w:t>
      </w:r>
      <w:r w:rsidR="00557737">
        <w:t xml:space="preserve"> </w:t>
      </w:r>
      <w:r w:rsidR="00557737" w:rsidRPr="00557737">
        <w:t>in Canada with a mix of imported and domestic ingredients</w:t>
      </w:r>
      <w:r w:rsidR="00557737">
        <w:t>"; and (c) "</w:t>
      </w:r>
      <w:r w:rsidR="00557737" w:rsidRPr="00557737">
        <w:t>raw agricultural commodities are exported from Canada and returned as finished</w:t>
      </w:r>
      <w:r w:rsidR="00557737">
        <w:t xml:space="preserve"> </w:t>
      </w:r>
      <w:r w:rsidR="00557737" w:rsidRPr="00557737">
        <w:t>products</w:t>
      </w:r>
      <w:r w:rsidR="00557737">
        <w:t xml:space="preserve">".   </w:t>
      </w:r>
    </w:p>
    <w:p w14:paraId="3B5A5394" w14:textId="4A047673" w:rsidR="009F4496" w:rsidRDefault="00DC3D8B" w:rsidP="00DC3D8B">
      <w:pPr>
        <w:pStyle w:val="ListParagraph"/>
        <w:numPr>
          <w:ilvl w:val="1"/>
          <w:numId w:val="23"/>
        </w:numPr>
        <w:jc w:val="both"/>
      </w:pPr>
      <w:r>
        <w:t xml:space="preserve">Response:    </w:t>
      </w:r>
      <w:r w:rsidR="001A2902">
        <w:t xml:space="preserve">Just because the </w:t>
      </w:r>
      <w:r w:rsidRPr="00DC3D8B">
        <w:t xml:space="preserve">CFIA finds a law hard to enforce is not a good excuse for not having </w:t>
      </w:r>
      <w:r w:rsidR="00C20EB2">
        <w:t xml:space="preserve">a </w:t>
      </w:r>
      <w:r w:rsidRPr="00DC3D8B">
        <w:t>law</w:t>
      </w:r>
      <w:r w:rsidR="001A2902">
        <w:t xml:space="preserve"> that is protective of Canadians' health</w:t>
      </w:r>
      <w:r w:rsidR="009F4496">
        <w:t xml:space="preserve">. This is the tail wagging the dog.  </w:t>
      </w:r>
    </w:p>
    <w:p w14:paraId="4A319ABF" w14:textId="06594E06" w:rsidR="00DC3D8B" w:rsidRDefault="00DC3D8B" w:rsidP="00DC3D8B">
      <w:pPr>
        <w:pStyle w:val="ListParagraph"/>
        <w:numPr>
          <w:ilvl w:val="1"/>
          <w:numId w:val="23"/>
        </w:numPr>
        <w:jc w:val="both"/>
      </w:pPr>
      <w:r w:rsidRPr="00DC3D8B">
        <w:t xml:space="preserve">Also, </w:t>
      </w:r>
      <w:r w:rsidR="001A2902">
        <w:t xml:space="preserve">it appears </w:t>
      </w:r>
      <w:r w:rsidRPr="00DC3D8B">
        <w:t xml:space="preserve">CFIA </w:t>
      </w:r>
      <w:r w:rsidR="001A2902">
        <w:t xml:space="preserve">finds it hard because </w:t>
      </w:r>
      <w:r w:rsidRPr="00DC3D8B">
        <w:t>it can't figure out where a</w:t>
      </w:r>
      <w:r w:rsidR="001A2902">
        <w:t xml:space="preserve">n ingredient in a food item comes </w:t>
      </w:r>
      <w:r w:rsidRPr="00DC3D8B">
        <w:t xml:space="preserve">from. A simple way to </w:t>
      </w:r>
      <w:r w:rsidR="001A2902">
        <w:t xml:space="preserve">solve this would be to </w:t>
      </w:r>
      <w:r w:rsidRPr="00DC3D8B">
        <w:t>ask the manufacturer</w:t>
      </w:r>
      <w:r w:rsidR="009F4496">
        <w:t>/ importer/exporter</w:t>
      </w:r>
      <w:r w:rsidR="001A2902">
        <w:t xml:space="preserve">. </w:t>
      </w:r>
    </w:p>
    <w:p w14:paraId="3B095549" w14:textId="77F318A8" w:rsidR="007D0CC0" w:rsidRPr="002671E2" w:rsidRDefault="007D0CC0" w:rsidP="002671E2">
      <w:pPr>
        <w:pStyle w:val="Heading2"/>
      </w:pPr>
      <w:bookmarkStart w:id="20" w:name="_Toc145431572"/>
      <w:r w:rsidRPr="002671E2">
        <w:t>Higher Import MRLs Come From</w:t>
      </w:r>
      <w:r w:rsidR="00867B9E" w:rsidRPr="002671E2">
        <w:t xml:space="preserve"> Industry and Bad Science</w:t>
      </w:r>
      <w:bookmarkEnd w:id="20"/>
      <w:r w:rsidR="00867B9E" w:rsidRPr="002671E2">
        <w:t xml:space="preserve"> </w:t>
      </w:r>
    </w:p>
    <w:p w14:paraId="21CF63CE" w14:textId="07602D43" w:rsidR="00D62AC4" w:rsidRDefault="008D0F91" w:rsidP="002671E2">
      <w:pPr>
        <w:pStyle w:val="Heading3"/>
      </w:pPr>
      <w:bookmarkStart w:id="21" w:name="_Toc145431573"/>
      <w:r w:rsidRPr="002671E2">
        <w:t>Request</w:t>
      </w:r>
      <w:r w:rsidR="004C1567">
        <w:t>s</w:t>
      </w:r>
      <w:r w:rsidR="002671E2" w:rsidRPr="002671E2">
        <w:t xml:space="preserve"> from Pesticide Industry</w:t>
      </w:r>
      <w:r w:rsidR="008B561B">
        <w:rPr>
          <w:rStyle w:val="Heading5Char"/>
        </w:rPr>
        <w:t>.</w:t>
      </w:r>
      <w:bookmarkEnd w:id="21"/>
      <w:r w:rsidR="006F4E03">
        <w:t xml:space="preserve"> </w:t>
      </w:r>
    </w:p>
    <w:p w14:paraId="7696A2FC" w14:textId="010116AC" w:rsidR="006F4E03" w:rsidRDefault="00D62AC4" w:rsidP="006F4E03">
      <w:r>
        <w:t xml:space="preserve">The </w:t>
      </w:r>
      <w:r w:rsidR="006F4E03">
        <w:t>request for higher MRL</w:t>
      </w:r>
      <w:r w:rsidR="007A62D8">
        <w:t>s</w:t>
      </w:r>
      <w:r w:rsidR="006F4E03">
        <w:t xml:space="preserve"> generally come</w:t>
      </w:r>
      <w:r w:rsidR="00D127DF">
        <w:t>s</w:t>
      </w:r>
      <w:r w:rsidR="006F4E03">
        <w:t xml:space="preserve"> </w:t>
      </w:r>
      <w:r w:rsidR="00D127DF">
        <w:t>from the pesticide industry.</w:t>
      </w:r>
      <w:r w:rsidR="006F4E03">
        <w:t xml:space="preserve"> </w:t>
      </w:r>
    </w:p>
    <w:p w14:paraId="1B616286" w14:textId="6B5937E7" w:rsidR="002F04AF" w:rsidRPr="005371D8" w:rsidRDefault="006F4E03" w:rsidP="005371D8">
      <w:pPr>
        <w:pStyle w:val="ListParagraph"/>
        <w:numPr>
          <w:ilvl w:val="0"/>
          <w:numId w:val="23"/>
        </w:numPr>
      </w:pPr>
      <w:r w:rsidRPr="005371D8">
        <w:t xml:space="preserve">Bayer/ Monsanto </w:t>
      </w:r>
      <w:r w:rsidR="002F04AF" w:rsidRPr="005371D8">
        <w:t xml:space="preserve">requested </w:t>
      </w:r>
      <w:r w:rsidRPr="005371D8">
        <w:t xml:space="preserve">the higher MRLs for glyphosate on lentils, beans and peas in </w:t>
      </w:r>
      <w:r w:rsidR="00867B9E">
        <w:t xml:space="preserve">the </w:t>
      </w:r>
      <w:r w:rsidRPr="005371D8">
        <w:t>2021</w:t>
      </w:r>
      <w:r w:rsidR="002F04AF" w:rsidRPr="005371D8">
        <w:t xml:space="preserve"> Glyphosate Proposal.</w:t>
      </w:r>
      <w:r w:rsidRPr="005371D8">
        <w:t xml:space="preserve"> </w:t>
      </w:r>
    </w:p>
    <w:p w14:paraId="726F481A" w14:textId="77777777" w:rsidR="005371D8" w:rsidRPr="005371D8" w:rsidRDefault="002F04AF" w:rsidP="005371D8">
      <w:pPr>
        <w:pStyle w:val="ListParagraph"/>
        <w:numPr>
          <w:ilvl w:val="0"/>
          <w:numId w:val="23"/>
        </w:numPr>
      </w:pPr>
      <w:r w:rsidRPr="005371D8">
        <w:rPr>
          <w:rFonts w:cstheme="minorHAnsi"/>
        </w:rPr>
        <w:t xml:space="preserve">Now that the "pause" has been lifted, Syngenta  </w:t>
      </w:r>
      <w:r w:rsidR="005371D8" w:rsidRPr="005371D8">
        <w:rPr>
          <w:rFonts w:cstheme="minorHAnsi"/>
        </w:rPr>
        <w:t xml:space="preserve">has </w:t>
      </w:r>
      <w:r w:rsidR="005371D8" w:rsidRPr="005371D8">
        <w:rPr>
          <w:rFonts w:cstheme="minorHAnsi"/>
          <w:color w:val="666666"/>
          <w:shd w:val="clear" w:color="auto" w:fill="FFFFFF"/>
        </w:rPr>
        <w:t xml:space="preserve"> </w:t>
      </w:r>
      <w:r w:rsidR="005371D8" w:rsidRPr="005371D8">
        <w:t>asked</w:t>
      </w:r>
      <w:r w:rsidR="005371D8" w:rsidRPr="005371D8">
        <w:rPr>
          <w:rFonts w:cstheme="minorHAnsi"/>
          <w:shd w:val="clear" w:color="auto" w:fill="FFFFFF"/>
        </w:rPr>
        <w:t xml:space="preserve"> for the newest proposed increases for sugar beets,</w:t>
      </w:r>
      <w:r w:rsidR="005371D8" w:rsidRPr="005371D8">
        <w:rPr>
          <w:rFonts w:cstheme="minorHAnsi"/>
          <w:color w:val="666666"/>
          <w:shd w:val="clear" w:color="auto" w:fill="FFFFFF"/>
        </w:rPr>
        <w:t> </w:t>
      </w:r>
      <w:hyperlink r:id="rId26" w:history="1">
        <w:r w:rsidR="005371D8" w:rsidRPr="005371D8">
          <w:rPr>
            <w:rStyle w:val="Hyperlink"/>
            <w:rFonts w:cstheme="minorHAnsi"/>
            <w:color w:val="8CB548"/>
            <w:shd w:val="clear" w:color="auto" w:fill="FFFFFF"/>
          </w:rPr>
          <w:t>PMRL 2023-34</w:t>
        </w:r>
      </w:hyperlink>
      <w:r w:rsidR="005371D8" w:rsidRPr="005371D8">
        <w:rPr>
          <w:rFonts w:cstheme="minorHAnsi"/>
          <w:color w:val="666666"/>
          <w:shd w:val="clear" w:color="auto" w:fill="FFFFFF"/>
        </w:rPr>
        <w:t> and </w:t>
      </w:r>
      <w:hyperlink r:id="rId27" w:history="1">
        <w:r w:rsidR="005371D8" w:rsidRPr="005371D8">
          <w:rPr>
            <w:rStyle w:val="Hyperlink"/>
            <w:rFonts w:cstheme="minorHAnsi"/>
            <w:color w:val="8CB548"/>
            <w:shd w:val="clear" w:color="auto" w:fill="FFFFFF"/>
          </w:rPr>
          <w:t>PMRL 2023-38.</w:t>
        </w:r>
      </w:hyperlink>
    </w:p>
    <w:p w14:paraId="61B478BF" w14:textId="77777777" w:rsidR="00680582" w:rsidRPr="002671E2" w:rsidRDefault="008D0F91" w:rsidP="002671E2">
      <w:pPr>
        <w:pStyle w:val="Heading3"/>
      </w:pPr>
      <w:bookmarkStart w:id="22" w:name="_Toc145431574"/>
      <w:r w:rsidRPr="002671E2">
        <w:rPr>
          <w:rStyle w:val="Heading4Char"/>
          <w:sz w:val="28"/>
          <w:szCs w:val="28"/>
        </w:rPr>
        <w:t xml:space="preserve">Different Label Instructions </w:t>
      </w:r>
      <w:r w:rsidR="001C5367" w:rsidRPr="002671E2">
        <w:rPr>
          <w:rStyle w:val="Heading4Char"/>
          <w:sz w:val="28"/>
          <w:szCs w:val="28"/>
        </w:rPr>
        <w:t>Not Identified</w:t>
      </w:r>
      <w:r w:rsidRPr="002671E2">
        <w:t>.</w:t>
      </w:r>
      <w:bookmarkEnd w:id="22"/>
      <w:r w:rsidRPr="002671E2">
        <w:t xml:space="preserve"> </w:t>
      </w:r>
    </w:p>
    <w:p w14:paraId="631E9B8F" w14:textId="613FA547" w:rsidR="006F4E03" w:rsidRDefault="00A15C8B" w:rsidP="006F4E03">
      <w:r>
        <w:t>Recall that MRLs are a measure of the "</w:t>
      </w:r>
      <w:r w:rsidRPr="00A15C8B">
        <w:t>amount of pesticide residue that may remain on or in food when a pesticide is used according to label directions</w:t>
      </w:r>
      <w:r>
        <w:t xml:space="preserve">".  The measures of pesticide residue used in setting the </w:t>
      </w:r>
      <w:r w:rsidR="00717CEC">
        <w:t>I</w:t>
      </w:r>
      <w:r>
        <w:t xml:space="preserve">mport MRLs are based on field trials in different countries that have different label directions than those in Canada.  </w:t>
      </w:r>
    </w:p>
    <w:p w14:paraId="5049552C" w14:textId="0DAE7530" w:rsidR="008D0F91" w:rsidRDefault="008D0F91" w:rsidP="006F4E03">
      <w:r>
        <w:t xml:space="preserve">PMRA </w:t>
      </w:r>
      <w:r w:rsidR="00717CEC">
        <w:t>in its evaluations and consultation</w:t>
      </w:r>
      <w:r w:rsidR="00C20EB2">
        <w:t xml:space="preserve"> documents</w:t>
      </w:r>
      <w:r w:rsidR="00717CEC">
        <w:t xml:space="preserve"> d</w:t>
      </w:r>
      <w:r>
        <w:t xml:space="preserve">oes not disclose what the different label directions are </w:t>
      </w:r>
      <w:r w:rsidR="00ED2756">
        <w:t xml:space="preserve">for the Import MRLs </w:t>
      </w:r>
      <w:r>
        <w:t xml:space="preserve">and how they are different from the Canadian directions for use. </w:t>
      </w:r>
      <w:r w:rsidR="00664635">
        <w:t>Moreover, PMRA does not identify in its datab</w:t>
      </w:r>
      <w:r w:rsidR="0029381A">
        <w:t>a</w:t>
      </w:r>
      <w:r w:rsidR="00664635">
        <w:t xml:space="preserve">se which </w:t>
      </w:r>
      <w:r w:rsidR="0029381A">
        <w:t xml:space="preserve">pesticide </w:t>
      </w:r>
      <w:r w:rsidR="00664635">
        <w:t>label</w:t>
      </w:r>
      <w:r w:rsidR="0029381A">
        <w:t>s</w:t>
      </w:r>
      <w:r w:rsidR="00664635">
        <w:t xml:space="preserve"> amendments are the result of proposal to increase MRLs based on an Import MRL. </w:t>
      </w:r>
      <w:r w:rsidR="0029381A">
        <w:t xml:space="preserve">This lack of transparency and clarity makes it very difficult </w:t>
      </w:r>
      <w:r w:rsidR="00ED2756">
        <w:t xml:space="preserve">to understand the differences between the Canadian use directions and </w:t>
      </w:r>
      <w:r w:rsidR="006C671B">
        <w:t xml:space="preserve">the </w:t>
      </w:r>
      <w:r w:rsidR="00ED2756">
        <w:t>use directions that are being imported into Canad</w:t>
      </w:r>
      <w:r w:rsidR="006C671B">
        <w:t>a.</w:t>
      </w:r>
      <w:r w:rsidR="00ED2756">
        <w:t xml:space="preserve"> </w:t>
      </w:r>
    </w:p>
    <w:p w14:paraId="29A605F7" w14:textId="135387CB" w:rsidR="00680582" w:rsidRDefault="005371D8" w:rsidP="002671E2">
      <w:pPr>
        <w:pStyle w:val="Heading3"/>
      </w:pPr>
      <w:bookmarkStart w:id="23" w:name="_Toc145431575"/>
      <w:r w:rsidRPr="00D70856">
        <w:t xml:space="preserve">Industry and PMRA Only Look at </w:t>
      </w:r>
      <w:r w:rsidR="00D62AC4" w:rsidRPr="00D70856">
        <w:t xml:space="preserve">the </w:t>
      </w:r>
      <w:r w:rsidRPr="00D70856">
        <w:t>Active Ingredient</w:t>
      </w:r>
      <w:r w:rsidR="009D7F35">
        <w:rPr>
          <w:rStyle w:val="Heading4Char"/>
        </w:rPr>
        <w:t>.</w:t>
      </w:r>
      <w:bookmarkEnd w:id="23"/>
      <w:r w:rsidR="00191286">
        <w:t xml:space="preserve">  </w:t>
      </w:r>
    </w:p>
    <w:p w14:paraId="73DC7EE8" w14:textId="26A03757" w:rsidR="00434434" w:rsidRDefault="00434434" w:rsidP="00572882">
      <w:pPr>
        <w:rPr>
          <w:rFonts w:cstheme="minorHAnsi"/>
        </w:rPr>
      </w:pPr>
      <w:r>
        <w:rPr>
          <w:rFonts w:cstheme="minorHAnsi"/>
        </w:rPr>
        <w:t xml:space="preserve">The Act defines "pesticide control product" as </w:t>
      </w:r>
      <w:r w:rsidR="00C20EB2">
        <w:rPr>
          <w:rFonts w:cstheme="minorHAnsi"/>
        </w:rPr>
        <w:t xml:space="preserve">either </w:t>
      </w:r>
      <w:r>
        <w:rPr>
          <w:rFonts w:cstheme="minorHAnsi"/>
        </w:rPr>
        <w:t xml:space="preserve">(a) the entire product </w:t>
      </w:r>
      <w:r w:rsidR="00C20EB2">
        <w:rPr>
          <w:rFonts w:cstheme="minorHAnsi"/>
        </w:rPr>
        <w:t>or</w:t>
      </w:r>
      <w:r>
        <w:rPr>
          <w:rFonts w:cstheme="minorHAnsi"/>
        </w:rPr>
        <w:t xml:space="preserve">  (b) just the "active ingredient":</w:t>
      </w:r>
    </w:p>
    <w:p w14:paraId="49C60CC4" w14:textId="77777777" w:rsidR="002671E2" w:rsidRDefault="002671E2" w:rsidP="00572882">
      <w:pPr>
        <w:rPr>
          <w:rFonts w:cstheme="minorHAnsi"/>
        </w:rPr>
      </w:pPr>
    </w:p>
    <w:p w14:paraId="548FE02B" w14:textId="77777777" w:rsidR="002671E2" w:rsidRDefault="002671E2" w:rsidP="00572882">
      <w:pPr>
        <w:rPr>
          <w:rFonts w:cstheme="minorHAnsi"/>
        </w:rPr>
      </w:pPr>
    </w:p>
    <w:p w14:paraId="6CFD713B" w14:textId="77777777" w:rsidR="00434434" w:rsidRPr="00271103" w:rsidRDefault="00434434" w:rsidP="00572882">
      <w:pPr>
        <w:ind w:left="720"/>
        <w:rPr>
          <w:rFonts w:cstheme="minorHAnsi"/>
          <w:i/>
          <w:iCs/>
        </w:rPr>
      </w:pPr>
      <w:r w:rsidRPr="00271103">
        <w:rPr>
          <w:rFonts w:cstheme="minorHAnsi"/>
          <w:i/>
          <w:iCs/>
        </w:rPr>
        <w:lastRenderedPageBreak/>
        <w:t>pest control product means</w:t>
      </w:r>
    </w:p>
    <w:p w14:paraId="51EDD473" w14:textId="77777777" w:rsidR="00434434" w:rsidRPr="00271103" w:rsidRDefault="00434434" w:rsidP="00572882">
      <w:pPr>
        <w:ind w:left="720"/>
        <w:rPr>
          <w:rFonts w:cstheme="minorHAnsi"/>
          <w:i/>
          <w:iCs/>
        </w:rPr>
      </w:pPr>
      <w:r w:rsidRPr="00271103">
        <w:rPr>
          <w:rFonts w:cstheme="minorHAnsi"/>
          <w:i/>
          <w:iCs/>
        </w:rPr>
        <w:t xml:space="preserve">(a) a product, an organism or a substance, including a product, an organism or a substance derived through biotechnology, that </w:t>
      </w:r>
      <w:r w:rsidRPr="00C20EB2">
        <w:rPr>
          <w:rFonts w:cstheme="minorHAnsi"/>
          <w:b/>
          <w:bCs/>
          <w:i/>
          <w:iCs/>
        </w:rPr>
        <w:t>consists of its active ingredient, formulants and contaminants</w:t>
      </w:r>
      <w:r w:rsidRPr="00271103">
        <w:rPr>
          <w:rFonts w:cstheme="minorHAnsi"/>
          <w:i/>
          <w:iCs/>
        </w:rPr>
        <w:t>, and that is manufactured, represented, distributed or used as a means for directly or indirectly controlling, destroying, attracting or repelling a pest or for mitigating or preventing its injurious, noxious or troublesome effects;</w:t>
      </w:r>
    </w:p>
    <w:p w14:paraId="049FEF58" w14:textId="77777777" w:rsidR="00434434" w:rsidRPr="00271103" w:rsidRDefault="00434434" w:rsidP="00572882">
      <w:pPr>
        <w:ind w:left="720"/>
        <w:rPr>
          <w:rFonts w:cstheme="minorHAnsi"/>
          <w:i/>
          <w:iCs/>
        </w:rPr>
      </w:pPr>
      <w:r w:rsidRPr="00271103">
        <w:rPr>
          <w:rFonts w:cstheme="minorHAnsi"/>
          <w:i/>
          <w:iCs/>
        </w:rPr>
        <w:t xml:space="preserve">(b) an </w:t>
      </w:r>
      <w:r w:rsidRPr="00C20EB2">
        <w:rPr>
          <w:rFonts w:cstheme="minorHAnsi"/>
          <w:b/>
          <w:bCs/>
          <w:i/>
          <w:iCs/>
        </w:rPr>
        <w:t>active ingredient</w:t>
      </w:r>
      <w:r w:rsidRPr="00271103">
        <w:rPr>
          <w:rFonts w:cstheme="minorHAnsi"/>
          <w:i/>
          <w:iCs/>
        </w:rPr>
        <w:t xml:space="preserve"> that is used to manufacture anything described in paragraph (a); or</w:t>
      </w:r>
    </w:p>
    <w:p w14:paraId="06ADC8E1" w14:textId="11065658" w:rsidR="00434434" w:rsidRDefault="00434434" w:rsidP="00572882">
      <w:pPr>
        <w:ind w:left="720"/>
        <w:rPr>
          <w:rFonts w:cstheme="minorHAnsi"/>
        </w:rPr>
      </w:pPr>
      <w:r w:rsidRPr="00271103">
        <w:rPr>
          <w:rFonts w:cstheme="minorHAnsi"/>
          <w:i/>
          <w:iCs/>
        </w:rPr>
        <w:t>(c) any other thing that is prescribed to be a pest control product. (</w:t>
      </w:r>
      <w:proofErr w:type="spellStart"/>
      <w:r w:rsidRPr="00271103">
        <w:rPr>
          <w:rFonts w:cstheme="minorHAnsi"/>
          <w:i/>
          <w:iCs/>
        </w:rPr>
        <w:t>produit</w:t>
      </w:r>
      <w:proofErr w:type="spellEnd"/>
      <w:r w:rsidRPr="00271103">
        <w:rPr>
          <w:rFonts w:cstheme="minorHAnsi"/>
          <w:i/>
          <w:iCs/>
        </w:rPr>
        <w:t xml:space="preserve"> </w:t>
      </w:r>
      <w:proofErr w:type="spellStart"/>
      <w:r w:rsidRPr="00271103">
        <w:rPr>
          <w:rFonts w:cstheme="minorHAnsi"/>
          <w:i/>
          <w:iCs/>
        </w:rPr>
        <w:t>antiparasitaire</w:t>
      </w:r>
      <w:proofErr w:type="spellEnd"/>
      <w:r w:rsidRPr="00271103">
        <w:rPr>
          <w:rFonts w:cstheme="minorHAnsi"/>
          <w:i/>
          <w:iCs/>
        </w:rPr>
        <w:t xml:space="preserve">) </w:t>
      </w:r>
    </w:p>
    <w:p w14:paraId="54002545" w14:textId="5C8CBEF1" w:rsidR="00434434" w:rsidRPr="005127AF" w:rsidRDefault="00434434" w:rsidP="00572882">
      <w:pPr>
        <w:rPr>
          <w:rFonts w:cstheme="minorHAnsi"/>
        </w:rPr>
      </w:pPr>
      <w:r>
        <w:rPr>
          <w:rFonts w:cstheme="minorHAnsi"/>
        </w:rPr>
        <w:t>This definition allows PMRA to assess</w:t>
      </w:r>
      <w:r w:rsidR="00191286">
        <w:rPr>
          <w:rFonts w:cstheme="minorHAnsi"/>
        </w:rPr>
        <w:t xml:space="preserve">, and the applicant to provide information concerning, </w:t>
      </w:r>
      <w:r>
        <w:rPr>
          <w:rFonts w:cstheme="minorHAnsi"/>
        </w:rPr>
        <w:t xml:space="preserve"> only the active ingredient, not the complete manufactured product</w:t>
      </w:r>
      <w:r w:rsidR="00191286">
        <w:rPr>
          <w:rFonts w:cstheme="minorHAnsi"/>
        </w:rPr>
        <w:t>. Research is clea</w:t>
      </w:r>
      <w:r w:rsidR="00C20EB2">
        <w:rPr>
          <w:rFonts w:cstheme="minorHAnsi"/>
        </w:rPr>
        <w:t>r</w:t>
      </w:r>
      <w:r w:rsidR="00191286">
        <w:rPr>
          <w:rFonts w:cstheme="minorHAnsi"/>
        </w:rPr>
        <w:t xml:space="preserve"> that the entire formulated product </w:t>
      </w:r>
      <w:r>
        <w:rPr>
          <w:rFonts w:cstheme="minorHAnsi"/>
        </w:rPr>
        <w:t>contains many other ingredients including additives, co-formulants and surfactants</w:t>
      </w:r>
      <w:r w:rsidR="00C20EB2">
        <w:rPr>
          <w:rFonts w:cstheme="minorHAnsi"/>
        </w:rPr>
        <w:t xml:space="preserve"> and that t</w:t>
      </w:r>
      <w:r>
        <w:rPr>
          <w:rFonts w:cstheme="minorHAnsi"/>
        </w:rPr>
        <w:t>hese additional ingredients can make the active ingredient more toxic, and also cause the real-world product to be more harmful</w:t>
      </w:r>
      <w:r w:rsidR="00C20EB2">
        <w:rPr>
          <w:rFonts w:cstheme="minorHAnsi"/>
        </w:rPr>
        <w:t>,</w:t>
      </w:r>
      <w:r>
        <w:rPr>
          <w:rFonts w:cstheme="minorHAnsi"/>
        </w:rPr>
        <w:t xml:space="preserve"> than just the active ingredient itself.  </w:t>
      </w:r>
      <w:r w:rsidRPr="005127AF">
        <w:rPr>
          <w:rFonts w:cstheme="minorHAnsi"/>
        </w:rPr>
        <w:t xml:space="preserve"> </w:t>
      </w:r>
    </w:p>
    <w:p w14:paraId="494AFF5C" w14:textId="15A73362" w:rsidR="004F6211" w:rsidRDefault="00271103" w:rsidP="005371D8">
      <w:pPr>
        <w:rPr>
          <w:sz w:val="23"/>
          <w:szCs w:val="23"/>
        </w:rPr>
      </w:pPr>
      <w:r>
        <w:t xml:space="preserve">PMRA </w:t>
      </w:r>
      <w:r w:rsidR="00572882">
        <w:t xml:space="preserve">doesn’t even assess the </w:t>
      </w:r>
      <w:r>
        <w:t>full product</w:t>
      </w:r>
      <w:r w:rsidR="00572882">
        <w:t xml:space="preserve"> </w:t>
      </w:r>
      <w:r w:rsidR="005371D8">
        <w:t xml:space="preserve">when it </w:t>
      </w:r>
      <w:r w:rsidR="00434434">
        <w:t>contains more than one active ingredient</w:t>
      </w:r>
      <w:r w:rsidR="00572882">
        <w:t>!</w:t>
      </w:r>
      <w:r w:rsidR="00434434">
        <w:t xml:space="preserve">  </w:t>
      </w:r>
      <w:r w:rsidR="005371D8">
        <w:t>For example, the Syngenta proposed increase</w:t>
      </w:r>
      <w:r w:rsidR="00434434">
        <w:t xml:space="preserve">s for the active ingredients </w:t>
      </w:r>
      <w:r w:rsidR="005371D8">
        <w:t xml:space="preserve">azoxystrobin </w:t>
      </w:r>
      <w:r w:rsidR="00434434">
        <w:t xml:space="preserve">and </w:t>
      </w:r>
      <w:r w:rsidR="00434434">
        <w:rPr>
          <w:sz w:val="23"/>
          <w:szCs w:val="23"/>
        </w:rPr>
        <w:t xml:space="preserve">fludioxonil </w:t>
      </w:r>
      <w:r w:rsidR="005371D8">
        <w:t xml:space="preserve">set out in </w:t>
      </w:r>
      <w:r w:rsidR="005371D8" w:rsidRPr="005371D8">
        <w:rPr>
          <w:rFonts w:cstheme="minorHAnsi"/>
          <w:color w:val="666666"/>
          <w:shd w:val="clear" w:color="auto" w:fill="FFFFFF"/>
        </w:rPr>
        <w:t> </w:t>
      </w:r>
      <w:hyperlink r:id="rId28" w:history="1">
        <w:r w:rsidR="005371D8" w:rsidRPr="005371D8">
          <w:rPr>
            <w:rStyle w:val="Hyperlink"/>
            <w:rFonts w:cstheme="minorHAnsi"/>
            <w:color w:val="8CB548"/>
            <w:shd w:val="clear" w:color="auto" w:fill="FFFFFF"/>
          </w:rPr>
          <w:t>PMRL 2023-34</w:t>
        </w:r>
      </w:hyperlink>
      <w:r w:rsidR="005371D8" w:rsidRPr="005371D8">
        <w:rPr>
          <w:rFonts w:cstheme="minorHAnsi"/>
          <w:color w:val="666666"/>
          <w:shd w:val="clear" w:color="auto" w:fill="FFFFFF"/>
        </w:rPr>
        <w:t> and </w:t>
      </w:r>
      <w:hyperlink r:id="rId29" w:history="1">
        <w:r w:rsidR="005371D8" w:rsidRPr="005371D8">
          <w:rPr>
            <w:rStyle w:val="Hyperlink"/>
            <w:rFonts w:cstheme="minorHAnsi"/>
            <w:color w:val="8CB548"/>
            <w:shd w:val="clear" w:color="auto" w:fill="FFFFFF"/>
          </w:rPr>
          <w:t>PMRL 2023-38</w:t>
        </w:r>
        <w:r w:rsidR="005371D8">
          <w:rPr>
            <w:rStyle w:val="Hyperlink"/>
            <w:rFonts w:cstheme="minorHAnsi"/>
            <w:color w:val="8CB548"/>
            <w:shd w:val="clear" w:color="auto" w:fill="FFFFFF"/>
          </w:rPr>
          <w:t xml:space="preserve"> </w:t>
        </w:r>
      </w:hyperlink>
      <w:r w:rsidR="005371D8">
        <w:rPr>
          <w:rFonts w:cstheme="minorHAnsi"/>
        </w:rPr>
        <w:t xml:space="preserve"> are</w:t>
      </w:r>
      <w:r>
        <w:rPr>
          <w:rFonts w:cstheme="minorHAnsi"/>
        </w:rPr>
        <w:t xml:space="preserve"> to be ingredients </w:t>
      </w:r>
      <w:r w:rsidR="005371D8">
        <w:t xml:space="preserve">in the same pesticide product, but they are being </w:t>
      </w:r>
      <w:r w:rsidR="005371D8" w:rsidRPr="00C20EB2">
        <w:rPr>
          <w:b/>
          <w:bCs/>
        </w:rPr>
        <w:t>assessed separately</w:t>
      </w:r>
      <w:r w:rsidR="005371D8">
        <w:t xml:space="preserve">. Syngenta </w:t>
      </w:r>
      <w:r w:rsidR="005371D8">
        <w:rPr>
          <w:sz w:val="23"/>
          <w:szCs w:val="23"/>
        </w:rPr>
        <w:t xml:space="preserve">requested the azoxystrobin </w:t>
      </w:r>
      <w:r w:rsidR="005371D8" w:rsidRPr="00572882">
        <w:t>increase to "align Canada’s current MRL for azoxystrobin on sugar beet roots with the US azoxystrobin tolerance. The pesticide product used in the US is a co-formulation, containing the pesticides fludioxonil and azoxystrobin. As such, the application for a proposed MRL for fludioxonil on sugar beet roots is being consulted on under a separate document."</w:t>
      </w:r>
      <w:r w:rsidR="00434434">
        <w:rPr>
          <w:sz w:val="23"/>
          <w:szCs w:val="23"/>
        </w:rPr>
        <w:t xml:space="preserve"> </w:t>
      </w:r>
    </w:p>
    <w:p w14:paraId="1186F9F3" w14:textId="4BE345EA" w:rsidR="005371D8" w:rsidRPr="005371D8" w:rsidRDefault="004F6211" w:rsidP="005371D8">
      <w:r>
        <w:rPr>
          <w:sz w:val="23"/>
          <w:szCs w:val="23"/>
        </w:rPr>
        <w:t xml:space="preserve">By not evaluating </w:t>
      </w:r>
      <w:r>
        <w:t>the combined effect of these two ingredients in the one product, PMRA is not applying a</w:t>
      </w:r>
      <w:r w:rsidR="009F654A">
        <w:t>n evidence based or a</w:t>
      </w:r>
      <w:r>
        <w:t xml:space="preserve"> scientifically based approach. It is also completely failing to assess the risks associated with the full product, and failing in its mandate to protect Canadians from the risks of pesticides. Without examination of the full product, </w:t>
      </w:r>
      <w:r w:rsidRPr="00C20EB2">
        <w:rPr>
          <w:b/>
          <w:bCs/>
        </w:rPr>
        <w:t xml:space="preserve">PMRA cannot even </w:t>
      </w:r>
      <w:r w:rsidR="006C667A" w:rsidRPr="00C20EB2">
        <w:rPr>
          <w:b/>
          <w:bCs/>
        </w:rPr>
        <w:t xml:space="preserve">claim to </w:t>
      </w:r>
      <w:r w:rsidRPr="00C20EB2">
        <w:rPr>
          <w:b/>
          <w:bCs/>
        </w:rPr>
        <w:t>know the risks</w:t>
      </w:r>
      <w:r w:rsidR="006C667A" w:rsidRPr="00C20EB2">
        <w:rPr>
          <w:b/>
          <w:bCs/>
        </w:rPr>
        <w:t xml:space="preserve"> </w:t>
      </w:r>
      <w:r w:rsidR="006C667A">
        <w:t>of the pest control product</w:t>
      </w:r>
      <w:r>
        <w:t xml:space="preserve">. </w:t>
      </w:r>
      <w:r w:rsidR="00434434">
        <w:rPr>
          <w:sz w:val="23"/>
          <w:szCs w:val="23"/>
        </w:rPr>
        <w:t xml:space="preserve"> </w:t>
      </w:r>
    </w:p>
    <w:p w14:paraId="64256F50" w14:textId="55235776" w:rsidR="00680582" w:rsidRDefault="00E81AF8" w:rsidP="00F77B9C">
      <w:pPr>
        <w:pStyle w:val="Heading4"/>
      </w:pPr>
      <w:bookmarkStart w:id="24" w:name="_Toc145431576"/>
      <w:r w:rsidRPr="002671E2">
        <w:rPr>
          <w:rStyle w:val="Heading3Char"/>
        </w:rPr>
        <w:t>Industry Field Trials with</w:t>
      </w:r>
      <w:r w:rsidR="001F7227" w:rsidRPr="002671E2">
        <w:rPr>
          <w:rStyle w:val="Heading3Char"/>
        </w:rPr>
        <w:t xml:space="preserve"> Overreaching </w:t>
      </w:r>
      <w:r w:rsidRPr="002671E2">
        <w:rPr>
          <w:rStyle w:val="Heading3Char"/>
        </w:rPr>
        <w:t xml:space="preserve">Confidentiality </w:t>
      </w:r>
      <w:r w:rsidR="00773A6F" w:rsidRPr="002671E2">
        <w:rPr>
          <w:rStyle w:val="Heading3Char"/>
        </w:rPr>
        <w:t>Claims</w:t>
      </w:r>
      <w:bookmarkEnd w:id="24"/>
      <w:r w:rsidR="00B843B2">
        <w:t xml:space="preserve">.  </w:t>
      </w:r>
    </w:p>
    <w:p w14:paraId="21B82CAE" w14:textId="77777777" w:rsidR="00A352D1" w:rsidRPr="00F96CB4" w:rsidRDefault="00B843B2" w:rsidP="00A352D1">
      <w:pPr>
        <w:spacing w:before="240" w:after="240" w:line="240" w:lineRule="auto"/>
        <w:rPr>
          <w:rFonts w:ascii="Times New Roman" w:eastAsia="Times New Roman" w:hAnsi="Times New Roman" w:cs="Times New Roman"/>
          <w:sz w:val="24"/>
          <w:szCs w:val="24"/>
          <w:lang w:eastAsia="en-CA"/>
        </w:rPr>
      </w:pPr>
      <w:r>
        <w:t>The</w:t>
      </w:r>
      <w:r w:rsidR="008D0F91">
        <w:t xml:space="preserve"> </w:t>
      </w:r>
      <w:r w:rsidR="00A15C8B">
        <w:t>field trials</w:t>
      </w:r>
      <w:r w:rsidR="008D0F91">
        <w:t xml:space="preserve"> used as the basis for the </w:t>
      </w:r>
      <w:r w:rsidR="00680582">
        <w:t>I</w:t>
      </w:r>
      <w:r w:rsidR="008D0F91">
        <w:t xml:space="preserve">mport MRL </w:t>
      </w:r>
      <w:r w:rsidR="00AC3F5B">
        <w:t>come from industry</w:t>
      </w:r>
      <w:r w:rsidR="00E81AF8">
        <w:t>. There are no safeguards in place to ensure that the trials are not cherry-picked.</w:t>
      </w:r>
      <w:r w:rsidR="00A352D1">
        <w:t xml:space="preserve">  Moreover, the </w:t>
      </w:r>
      <w:r w:rsidR="00A352D1">
        <w:rPr>
          <w:rFonts w:eastAsia="Times New Roman" w:cstheme="minorHAnsi"/>
          <w:color w:val="000000"/>
          <w:lang w:eastAsia="en-CA"/>
        </w:rPr>
        <w:t xml:space="preserve">field trials selected by industry for calculating Import MRLs do not reflect Canadian use directions and so are not relevant to Canada. </w:t>
      </w:r>
    </w:p>
    <w:p w14:paraId="4CC5B4F1" w14:textId="49AF4668" w:rsidR="00E81AF8" w:rsidRDefault="00E81AF8" w:rsidP="006F4E03">
      <w:r>
        <w:t xml:space="preserve">These field trials </w:t>
      </w:r>
      <w:r w:rsidR="008D0F91">
        <w:t xml:space="preserve">are cloaked in claims of confidentiality. The Act indicates that "confidential test data" can be viewed through a reading room process, </w:t>
      </w:r>
      <w:r w:rsidR="0084159E">
        <w:t xml:space="preserve">which means </w:t>
      </w:r>
      <w:r w:rsidR="008D0F91">
        <w:t xml:space="preserve">these </w:t>
      </w:r>
      <w:r w:rsidR="008D0F91" w:rsidRPr="007D1102">
        <w:rPr>
          <w:b/>
          <w:bCs/>
        </w:rPr>
        <w:t xml:space="preserve">studies should be released with just the </w:t>
      </w:r>
      <w:r w:rsidR="00C20EB2">
        <w:rPr>
          <w:b/>
          <w:bCs/>
        </w:rPr>
        <w:t xml:space="preserve">"confidential test </w:t>
      </w:r>
      <w:proofErr w:type="spellStart"/>
      <w:r w:rsidRPr="007D1102">
        <w:rPr>
          <w:b/>
          <w:bCs/>
        </w:rPr>
        <w:t>data</w:t>
      </w:r>
      <w:r w:rsidR="00C20EB2">
        <w:rPr>
          <w:b/>
          <w:bCs/>
        </w:rPr>
        <w:t>"</w:t>
      </w:r>
      <w:r w:rsidRPr="007D1102">
        <w:rPr>
          <w:b/>
          <w:bCs/>
        </w:rPr>
        <w:t>blacked</w:t>
      </w:r>
      <w:proofErr w:type="spellEnd"/>
      <w:r w:rsidRPr="007D1102">
        <w:rPr>
          <w:b/>
          <w:bCs/>
        </w:rPr>
        <w:t xml:space="preserve"> out</w:t>
      </w:r>
      <w:r>
        <w:t xml:space="preserve">/ redacted. The principle is that documents should be disclosed, </w:t>
      </w:r>
      <w:r w:rsidRPr="00363452">
        <w:t>that the exceptions to disclosure be narrow</w:t>
      </w:r>
      <w:r w:rsidR="00363452" w:rsidRPr="00363452">
        <w:t>ly construed</w:t>
      </w:r>
      <w:r w:rsidRPr="00363452">
        <w:t xml:space="preserve"> </w:t>
      </w:r>
      <w:r>
        <w:t>and that the owner of the data has</w:t>
      </w:r>
      <w:r w:rsidR="00BB7B67">
        <w:t xml:space="preserve"> the onus</w:t>
      </w:r>
      <w:r>
        <w:t xml:space="preserve"> to justify the claims of confidentiality</w:t>
      </w:r>
      <w:r w:rsidR="008318AE">
        <w:t xml:space="preserve">. </w:t>
      </w:r>
      <w:r w:rsidR="00E843A5">
        <w:t xml:space="preserve"> </w:t>
      </w:r>
    </w:p>
    <w:p w14:paraId="2D565899" w14:textId="3B453F8E" w:rsidR="00680582" w:rsidRDefault="00680582" w:rsidP="006F4E03">
      <w:r>
        <w:t xml:space="preserve">Disclosure of the studies with redactions would </w:t>
      </w:r>
      <w:r w:rsidR="00C20EB2">
        <w:t xml:space="preserve">allow for inquiry into </w:t>
      </w:r>
      <w:r>
        <w:t>whether the PMRA applied a scientifically based approach in its evaluation, as it is required to do under the Act</w:t>
      </w:r>
      <w:r w:rsidR="00C20EB2">
        <w:t>, regardless of the content of the data</w:t>
      </w:r>
      <w:r>
        <w:t xml:space="preserve">. Such review is integral to accountability of the PMRA and forms part of the public participation process, one of the pillars of the Act. </w:t>
      </w:r>
    </w:p>
    <w:p w14:paraId="556BF6AF" w14:textId="1D0F5213" w:rsidR="00E81AF8" w:rsidRDefault="00E81AF8" w:rsidP="006F4E03">
      <w:r>
        <w:t xml:space="preserve">However PMRA does not disclose the studies themselves except through the reading room process. </w:t>
      </w:r>
      <w:r w:rsidR="00F1061D">
        <w:t xml:space="preserve">The process takes time, and the studies cannot be realistically viewed for critical content in time to make meaningful comments on consultations. </w:t>
      </w:r>
      <w:r w:rsidR="00313441">
        <w:t xml:space="preserve">PMRA also does not provide any evidence that it understand the reasons for the confidentiality claim or that it has placed the onus on the owner of the data to legally justify the confidentiality claims. </w:t>
      </w:r>
    </w:p>
    <w:p w14:paraId="5D690A03" w14:textId="40887954" w:rsidR="00AC3F5B" w:rsidRPr="00AA7F58" w:rsidRDefault="00E81AF8" w:rsidP="002671E2">
      <w:pPr>
        <w:pStyle w:val="Heading3"/>
      </w:pPr>
      <w:bookmarkStart w:id="25" w:name="_Toc145431577"/>
      <w:r w:rsidRPr="00AA7F58">
        <w:lastRenderedPageBreak/>
        <w:t>OECD Calculator</w:t>
      </w:r>
      <w:r w:rsidR="00AA7F58">
        <w:t xml:space="preserve"> Overestimations</w:t>
      </w:r>
      <w:r w:rsidR="00AC3F5B" w:rsidRPr="00AA7F58">
        <w:t>.</w:t>
      </w:r>
      <w:bookmarkEnd w:id="25"/>
      <w:r w:rsidR="00AC3F5B" w:rsidRPr="00AA7F58">
        <w:t xml:space="preserve">  </w:t>
      </w:r>
    </w:p>
    <w:p w14:paraId="7CC93C1F" w14:textId="0D40677E" w:rsidR="00925A75" w:rsidRDefault="00D62AC4" w:rsidP="00925A75">
      <w:pPr>
        <w:spacing w:before="240" w:after="240" w:line="240" w:lineRule="auto"/>
        <w:rPr>
          <w:rFonts w:eastAsia="Times New Roman" w:cstheme="minorHAnsi"/>
          <w:color w:val="000000"/>
          <w:lang w:eastAsia="en-CA"/>
        </w:rPr>
      </w:pPr>
      <w:r>
        <w:rPr>
          <w:rFonts w:eastAsia="Times New Roman" w:cstheme="minorHAnsi"/>
          <w:color w:val="000000"/>
          <w:lang w:eastAsia="en-CA"/>
        </w:rPr>
        <w:t xml:space="preserve">- </w:t>
      </w:r>
      <w:r w:rsidR="009D55D9" w:rsidRPr="009D55D9">
        <w:rPr>
          <w:rFonts w:eastAsia="Times New Roman" w:cstheme="minorHAnsi"/>
          <w:color w:val="000000"/>
          <w:lang w:eastAsia="en-CA"/>
        </w:rPr>
        <w:t xml:space="preserve">In setting the residue levels, </w:t>
      </w:r>
      <w:r w:rsidR="00E81AF8">
        <w:t xml:space="preserve">PMRA takes the residue data from the </w:t>
      </w:r>
      <w:r w:rsidR="006E7A77">
        <w:t xml:space="preserve">irrelevant </w:t>
      </w:r>
      <w:r w:rsidR="00E81AF8">
        <w:t xml:space="preserve">field trials selected and presented by </w:t>
      </w:r>
      <w:r w:rsidR="00E81AF8" w:rsidRPr="00925A75">
        <w:rPr>
          <w:rFonts w:cstheme="minorHAnsi"/>
        </w:rPr>
        <w:t>industry, and puts it into the OECD Calculator.</w:t>
      </w:r>
      <w:r w:rsidR="00925A75" w:rsidRPr="00925A75">
        <w:rPr>
          <w:rFonts w:eastAsia="Times New Roman" w:cstheme="minorHAnsi"/>
          <w:color w:val="000000"/>
          <w:lang w:eastAsia="en-CA"/>
        </w:rPr>
        <w:t xml:space="preserve"> This tool uses a set of pesticide analyses in a crop, and estimates a value that would be exceeded less than 95% of the time. Th</w:t>
      </w:r>
      <w:r w:rsidR="00A352D1">
        <w:rPr>
          <w:rFonts w:eastAsia="Times New Roman" w:cstheme="minorHAnsi"/>
          <w:color w:val="000000"/>
          <w:lang w:eastAsia="en-CA"/>
        </w:rPr>
        <w:t xml:space="preserve">is </w:t>
      </w:r>
      <w:r w:rsidR="00925A75" w:rsidRPr="00925A75">
        <w:rPr>
          <w:rFonts w:eastAsia="Times New Roman" w:cstheme="minorHAnsi"/>
          <w:color w:val="000000"/>
          <w:lang w:eastAsia="en-CA"/>
        </w:rPr>
        <w:t xml:space="preserve">statistical approach  “overestimates” or inflates values in situations where the data sets are small, as explained in the </w:t>
      </w:r>
      <w:r w:rsidR="00A352D1">
        <w:rPr>
          <w:rFonts w:eastAsia="Times New Roman" w:cstheme="minorHAnsi"/>
          <w:color w:val="000000"/>
          <w:lang w:eastAsia="en-CA"/>
        </w:rPr>
        <w:t xml:space="preserve">OECD </w:t>
      </w:r>
      <w:hyperlink r:id="rId30" w:history="1">
        <w:r w:rsidR="00925A75" w:rsidRPr="00925A75">
          <w:rPr>
            <w:rFonts w:eastAsia="Times New Roman" w:cstheme="minorHAnsi"/>
            <w:color w:val="1155CC"/>
            <w:u w:val="single"/>
            <w:lang w:eastAsia="en-CA"/>
          </w:rPr>
          <w:t>W</w:t>
        </w:r>
        <w:r w:rsidR="00925A75" w:rsidRPr="00925A75">
          <w:rPr>
            <w:rFonts w:eastAsia="Times New Roman" w:cstheme="minorHAnsi"/>
            <w:color w:val="1155CC"/>
            <w:u w:val="single"/>
            <w:lang w:eastAsia="en-CA"/>
          </w:rPr>
          <w:t>h</w:t>
        </w:r>
        <w:r w:rsidR="00925A75" w:rsidRPr="00925A75">
          <w:rPr>
            <w:rFonts w:eastAsia="Times New Roman" w:cstheme="minorHAnsi"/>
            <w:color w:val="1155CC"/>
            <w:u w:val="single"/>
            <w:lang w:eastAsia="en-CA"/>
          </w:rPr>
          <w:t>ite Paper</w:t>
        </w:r>
      </w:hyperlink>
      <w:r w:rsidR="00925A75" w:rsidRPr="00925A75">
        <w:rPr>
          <w:rFonts w:eastAsia="Times New Roman" w:cstheme="minorHAnsi"/>
          <w:color w:val="000000"/>
          <w:lang w:eastAsia="en-CA"/>
        </w:rPr>
        <w:t xml:space="preserve"> (p. </w:t>
      </w:r>
      <w:r w:rsidR="00E02730">
        <w:rPr>
          <w:rFonts w:eastAsia="Times New Roman" w:cstheme="minorHAnsi"/>
          <w:color w:val="000000"/>
          <w:lang w:eastAsia="en-CA"/>
        </w:rPr>
        <w:t>25, 41/53)</w:t>
      </w:r>
      <w:r w:rsidR="00925A75" w:rsidRPr="00925A75">
        <w:rPr>
          <w:rFonts w:eastAsia="Times New Roman" w:cstheme="minorHAnsi"/>
          <w:color w:val="000000"/>
          <w:lang w:eastAsia="en-CA"/>
        </w:rPr>
        <w:t xml:space="preserve">. </w:t>
      </w:r>
    </w:p>
    <w:p w14:paraId="554753CA" w14:textId="55A437C7" w:rsidR="00365919" w:rsidRDefault="00D62AC4" w:rsidP="00E81AF8">
      <w:pPr>
        <w:spacing w:before="240" w:after="240" w:line="240" w:lineRule="auto"/>
      </w:pPr>
      <w:r>
        <w:t xml:space="preserve">- </w:t>
      </w:r>
      <w:r w:rsidR="00AA7F58" w:rsidRPr="00680582">
        <w:t xml:space="preserve">Overestimated values provide scientific justification for high, unrealistic proposed MRLs.  Overestimated values were used </w:t>
      </w:r>
      <w:r w:rsidR="00925A75">
        <w:t>to justify the Glyphosate Proposal.</w:t>
      </w:r>
      <w:r w:rsidR="00AA7F58" w:rsidRPr="00680582">
        <w:t xml:space="preserve"> </w:t>
      </w:r>
      <w:r w:rsidR="00365919">
        <w:t xml:space="preserve">According to the </w:t>
      </w:r>
      <w:r w:rsidR="0014438A">
        <w:t xml:space="preserve">relevant </w:t>
      </w:r>
      <w:r w:rsidR="00365919">
        <w:t>Evaluation Report (PMRA Doc. # 3161627):</w:t>
      </w:r>
    </w:p>
    <w:p w14:paraId="68A5ED50" w14:textId="0C08FFBB" w:rsidR="00365919" w:rsidRDefault="00365919" w:rsidP="00D62AC4">
      <w:pPr>
        <w:spacing w:before="240" w:after="240" w:line="240" w:lineRule="auto"/>
        <w:ind w:left="720"/>
      </w:pPr>
      <w:r>
        <w:t xml:space="preserve">- </w:t>
      </w:r>
      <w:r w:rsidR="00D62AC4">
        <w:t>Peas:</w:t>
      </w:r>
      <w:r>
        <w:t xml:space="preserve"> the highest average field trial values was 4.76, ppm, but the </w:t>
      </w:r>
      <w:r w:rsidR="00AA7F58" w:rsidRPr="00680582">
        <w:t xml:space="preserve">overestimated proposed MRL was </w:t>
      </w:r>
      <w:r>
        <w:t>10 ppm;</w:t>
      </w:r>
    </w:p>
    <w:p w14:paraId="5AC0EB76" w14:textId="6BFA522C" w:rsidR="00365919" w:rsidRDefault="00365919" w:rsidP="00D62AC4">
      <w:pPr>
        <w:spacing w:before="240" w:after="240" w:line="240" w:lineRule="auto"/>
        <w:ind w:left="720"/>
      </w:pPr>
      <w:r>
        <w:t xml:space="preserve">- </w:t>
      </w:r>
      <w:r w:rsidR="00D62AC4">
        <w:t>L</w:t>
      </w:r>
      <w:r>
        <w:t>entils</w:t>
      </w:r>
      <w:r w:rsidR="00D62AC4">
        <w:t xml:space="preserve">: </w:t>
      </w:r>
      <w:r>
        <w:t xml:space="preserve">the highest average field trial values was 6.34, ppm, but the </w:t>
      </w:r>
      <w:r w:rsidRPr="00680582">
        <w:t xml:space="preserve">overestimated proposed MRL was </w:t>
      </w:r>
      <w:r>
        <w:t>10 ppm;</w:t>
      </w:r>
      <w:r w:rsidR="0014438A">
        <w:t xml:space="preserve"> and</w:t>
      </w:r>
    </w:p>
    <w:p w14:paraId="3FE6E306" w14:textId="64C955C3" w:rsidR="00365919" w:rsidRDefault="00365919" w:rsidP="00D62AC4">
      <w:pPr>
        <w:spacing w:before="240" w:after="240" w:line="240" w:lineRule="auto"/>
        <w:ind w:left="720"/>
      </w:pPr>
      <w:r>
        <w:t xml:space="preserve">- </w:t>
      </w:r>
      <w:r w:rsidR="00D62AC4">
        <w:t>B</w:t>
      </w:r>
      <w:r>
        <w:t>eans</w:t>
      </w:r>
      <w:r w:rsidR="00D62AC4">
        <w:t xml:space="preserve">: </w:t>
      </w:r>
      <w:r>
        <w:t xml:space="preserve">the highest average field trial values was 6.313 ppm, but the </w:t>
      </w:r>
      <w:r w:rsidRPr="00680582">
        <w:t xml:space="preserve">overestimated proposed MRL was </w:t>
      </w:r>
      <w:r>
        <w:t>15 ppm</w:t>
      </w:r>
      <w:r w:rsidR="0014438A">
        <w:t xml:space="preserve">. </w:t>
      </w:r>
    </w:p>
    <w:p w14:paraId="65193952" w14:textId="4A226BDF" w:rsidR="00F20148" w:rsidRDefault="00F20148" w:rsidP="00E81AF8">
      <w:pPr>
        <w:spacing w:before="240" w:after="240" w:line="240" w:lineRule="auto"/>
      </w:pPr>
      <w:r>
        <w:t>Any analysis that does not accurately reflect the data in the real-world, the evidence, is not a</w:t>
      </w:r>
      <w:r w:rsidR="00916E48">
        <w:t xml:space="preserve">n evidence based approach and accordingly does not reflect a </w:t>
      </w:r>
      <w:r>
        <w:t xml:space="preserve">scientifically based approach. </w:t>
      </w:r>
    </w:p>
    <w:p w14:paraId="46033E34" w14:textId="526FE06A" w:rsidR="00AA7F58" w:rsidRDefault="00AA7F58" w:rsidP="00AA7F58">
      <w:pPr>
        <w:pStyle w:val="Heading2"/>
        <w:rPr>
          <w:rFonts w:eastAsia="Times New Roman"/>
          <w:lang w:eastAsia="en-CA"/>
        </w:rPr>
      </w:pPr>
      <w:bookmarkStart w:id="26" w:name="_Toc145431578"/>
      <w:r>
        <w:rPr>
          <w:rFonts w:eastAsia="Times New Roman"/>
          <w:lang w:eastAsia="en-CA"/>
        </w:rPr>
        <w:t>OECD Process</w:t>
      </w:r>
      <w:bookmarkEnd w:id="26"/>
      <w:r w:rsidR="009D7F35">
        <w:rPr>
          <w:rFonts w:eastAsia="Times New Roman"/>
          <w:lang w:eastAsia="en-CA"/>
        </w:rPr>
        <w:t xml:space="preserve"> </w:t>
      </w:r>
    </w:p>
    <w:p w14:paraId="25FC8DCD" w14:textId="43C1E795" w:rsidR="00F1061D" w:rsidRPr="001F7139" w:rsidRDefault="00D62AC4" w:rsidP="00F1061D">
      <w:pPr>
        <w:pStyle w:val="NormalWeb"/>
        <w:shd w:val="clear" w:color="auto" w:fill="FFFFFF"/>
        <w:spacing w:before="0" w:beforeAutospacing="0" w:after="300" w:afterAutospacing="0"/>
        <w:rPr>
          <w:rFonts w:asciiTheme="minorHAnsi" w:hAnsiTheme="minorHAnsi" w:cstheme="minorHAnsi"/>
          <w:sz w:val="22"/>
          <w:szCs w:val="22"/>
        </w:rPr>
      </w:pPr>
      <w:r>
        <w:rPr>
          <w:rFonts w:asciiTheme="minorHAnsi" w:hAnsiTheme="minorHAnsi" w:cstheme="minorHAnsi"/>
          <w:sz w:val="22"/>
          <w:szCs w:val="22"/>
        </w:rPr>
        <w:t xml:space="preserve">- </w:t>
      </w:r>
      <w:r w:rsidR="00F1061D" w:rsidRPr="001F7139">
        <w:rPr>
          <w:rFonts w:asciiTheme="minorHAnsi" w:hAnsiTheme="minorHAnsi" w:cstheme="minorHAnsi"/>
          <w:sz w:val="22"/>
          <w:szCs w:val="22"/>
        </w:rPr>
        <w:t>PMRA generally adopts the levels set by the OECD</w:t>
      </w:r>
      <w:r w:rsidR="00805759" w:rsidRPr="001F7139">
        <w:rPr>
          <w:rFonts w:asciiTheme="minorHAnsi" w:hAnsiTheme="minorHAnsi" w:cstheme="minorHAnsi"/>
          <w:sz w:val="22"/>
          <w:szCs w:val="22"/>
        </w:rPr>
        <w:t xml:space="preserve"> (the Organisation for Economic Cooperation and Development) </w:t>
      </w:r>
      <w:r w:rsidR="00F1061D" w:rsidRPr="001F7139">
        <w:rPr>
          <w:rFonts w:asciiTheme="minorHAnsi" w:hAnsiTheme="minorHAnsi" w:cstheme="minorHAnsi"/>
          <w:sz w:val="22"/>
          <w:szCs w:val="22"/>
        </w:rPr>
        <w:t xml:space="preserve"> through the </w:t>
      </w:r>
      <w:hyperlink r:id="rId31" w:history="1">
        <w:r w:rsidR="00F1061D" w:rsidRPr="001F7139">
          <w:rPr>
            <w:rStyle w:val="Hyperlink"/>
            <w:rFonts w:asciiTheme="minorHAnsi" w:hAnsiTheme="minorHAnsi" w:cstheme="minorHAnsi"/>
            <w:color w:val="auto"/>
            <w:sz w:val="22"/>
            <w:szCs w:val="22"/>
          </w:rPr>
          <w:t>Codex Committee on Pesticide Residues</w:t>
        </w:r>
      </w:hyperlink>
      <w:r w:rsidR="00F1061D" w:rsidRPr="001F7139">
        <w:rPr>
          <w:rFonts w:asciiTheme="minorHAnsi" w:hAnsiTheme="minorHAnsi" w:cstheme="minorHAnsi"/>
          <w:sz w:val="22"/>
          <w:szCs w:val="22"/>
        </w:rPr>
        <w:t> (CCPR). The CCPR takes recommendations from the</w:t>
      </w:r>
      <w:hyperlink r:id="rId32" w:history="1">
        <w:r w:rsidR="00F1061D" w:rsidRPr="001F7139">
          <w:rPr>
            <w:rStyle w:val="Hyperlink"/>
            <w:rFonts w:asciiTheme="minorHAnsi" w:hAnsiTheme="minorHAnsi" w:cstheme="minorHAnsi"/>
            <w:color w:val="auto"/>
            <w:sz w:val="22"/>
            <w:szCs w:val="22"/>
          </w:rPr>
          <w:t> Joint WHO/FAO Meeting on Pesticide Residues</w:t>
        </w:r>
      </w:hyperlink>
      <w:r w:rsidR="00F1061D" w:rsidRPr="001F7139">
        <w:rPr>
          <w:rFonts w:asciiTheme="minorHAnsi" w:hAnsiTheme="minorHAnsi" w:cstheme="minorHAnsi"/>
          <w:sz w:val="22"/>
          <w:szCs w:val="22"/>
        </w:rPr>
        <w:t xml:space="preserve"> (JMPR), which is a collection of </w:t>
      </w:r>
      <w:r w:rsidR="00DF62B2" w:rsidRPr="001F7139">
        <w:rPr>
          <w:rFonts w:asciiTheme="minorHAnsi" w:hAnsiTheme="minorHAnsi" w:cstheme="minorHAnsi"/>
          <w:sz w:val="22"/>
          <w:szCs w:val="22"/>
        </w:rPr>
        <w:t>ad hoc</w:t>
      </w:r>
      <w:r w:rsidR="00F1061D" w:rsidRPr="001F7139">
        <w:rPr>
          <w:rFonts w:asciiTheme="minorHAnsi" w:hAnsiTheme="minorHAnsi" w:cstheme="minorHAnsi"/>
          <w:sz w:val="22"/>
          <w:szCs w:val="22"/>
        </w:rPr>
        <w:t>, non-governmental “experts” whose purpose is to harmonize MRLs internationally for trade purposes. The JMPR decides on what data is put into the OECD Calculator.</w:t>
      </w:r>
    </w:p>
    <w:p w14:paraId="45575733" w14:textId="48938967" w:rsidR="00F1061D" w:rsidRPr="001F7139" w:rsidRDefault="00D62AC4" w:rsidP="00F1061D">
      <w:pPr>
        <w:pStyle w:val="NormalWeb"/>
        <w:shd w:val="clear" w:color="auto" w:fill="FFFFFF"/>
        <w:spacing w:before="0" w:beforeAutospacing="0" w:after="300" w:afterAutospacing="0"/>
        <w:rPr>
          <w:rFonts w:asciiTheme="minorHAnsi" w:hAnsiTheme="minorHAnsi" w:cstheme="minorHAnsi"/>
          <w:sz w:val="22"/>
          <w:szCs w:val="22"/>
        </w:rPr>
      </w:pPr>
      <w:r>
        <w:rPr>
          <w:rFonts w:asciiTheme="minorHAnsi" w:hAnsiTheme="minorHAnsi" w:cstheme="minorHAnsi"/>
          <w:sz w:val="22"/>
          <w:szCs w:val="22"/>
        </w:rPr>
        <w:t xml:space="preserve">- </w:t>
      </w:r>
      <w:r w:rsidR="00F1061D" w:rsidRPr="001F7139">
        <w:rPr>
          <w:rFonts w:asciiTheme="minorHAnsi" w:hAnsiTheme="minorHAnsi" w:cstheme="minorHAnsi"/>
          <w:sz w:val="22"/>
          <w:szCs w:val="22"/>
        </w:rPr>
        <w:t>PMRA plays a key role in the international drive for higher MRLs.  It chaired and funded an actual "extra" meeting in order to provide justification for higher glyphosate levels. The 2021 </w:t>
      </w:r>
      <w:hyperlink r:id="rId33" w:history="1">
        <w:r w:rsidR="00152A2E" w:rsidRPr="001F7139">
          <w:rPr>
            <w:rStyle w:val="Hyperlink"/>
            <w:rFonts w:asciiTheme="minorHAnsi" w:hAnsiTheme="minorHAnsi" w:cstheme="minorHAnsi"/>
            <w:color w:val="auto"/>
            <w:sz w:val="22"/>
            <w:szCs w:val="22"/>
          </w:rPr>
          <w:t>Glyphosate Pr</w:t>
        </w:r>
        <w:r w:rsidR="00F1061D" w:rsidRPr="001F7139">
          <w:rPr>
            <w:rStyle w:val="Hyperlink"/>
            <w:rFonts w:asciiTheme="minorHAnsi" w:hAnsiTheme="minorHAnsi" w:cstheme="minorHAnsi"/>
            <w:color w:val="auto"/>
            <w:sz w:val="22"/>
            <w:szCs w:val="22"/>
          </w:rPr>
          <w:t>oposal</w:t>
        </w:r>
      </w:hyperlink>
      <w:r w:rsidR="00F1061D" w:rsidRPr="001F7139">
        <w:rPr>
          <w:rFonts w:asciiTheme="minorHAnsi" w:hAnsiTheme="minorHAnsi" w:cstheme="minorHAnsi"/>
          <w:sz w:val="22"/>
          <w:szCs w:val="22"/>
        </w:rPr>
        <w:t>, which caused the public outcry and “pause”, recommended MRLs which came from the Ottawa 2019</w:t>
      </w:r>
      <w:hyperlink r:id="rId34" w:history="1">
        <w:r w:rsidR="00F1061D" w:rsidRPr="001F7139">
          <w:rPr>
            <w:rStyle w:val="Hyperlink"/>
            <w:rFonts w:asciiTheme="minorHAnsi" w:hAnsiTheme="minorHAnsi" w:cstheme="minorHAnsi"/>
            <w:color w:val="auto"/>
            <w:sz w:val="22"/>
            <w:szCs w:val="22"/>
          </w:rPr>
          <w:t> Extra Meeting</w:t>
        </w:r>
      </w:hyperlink>
      <w:r w:rsidR="00F1061D" w:rsidRPr="001F7139">
        <w:rPr>
          <w:rFonts w:asciiTheme="minorHAnsi" w:hAnsiTheme="minorHAnsi" w:cstheme="minorHAnsi"/>
          <w:sz w:val="22"/>
          <w:szCs w:val="22"/>
        </w:rPr>
        <w:t> of JMPR. At the 2021</w:t>
      </w:r>
      <w:r w:rsidR="00627F9D" w:rsidRPr="001F7139">
        <w:rPr>
          <w:rFonts w:asciiTheme="minorHAnsi" w:hAnsiTheme="minorHAnsi" w:cstheme="minorHAnsi"/>
          <w:sz w:val="22"/>
          <w:szCs w:val="22"/>
        </w:rPr>
        <w:t xml:space="preserve"> Codex </w:t>
      </w:r>
      <w:hyperlink r:id="rId35" w:history="1">
        <w:r w:rsidR="00F1061D" w:rsidRPr="001F7139">
          <w:rPr>
            <w:rStyle w:val="Hyperlink"/>
            <w:rFonts w:asciiTheme="minorHAnsi" w:hAnsiTheme="minorHAnsi" w:cstheme="minorHAnsi"/>
            <w:color w:val="auto"/>
            <w:sz w:val="22"/>
            <w:szCs w:val="22"/>
          </w:rPr>
          <w:t> CCPR meeting</w:t>
        </w:r>
      </w:hyperlink>
      <w:r w:rsidR="00F1061D" w:rsidRPr="001F7139">
        <w:rPr>
          <w:rFonts w:asciiTheme="minorHAnsi" w:hAnsiTheme="minorHAnsi" w:cstheme="minorHAnsi"/>
          <w:sz w:val="22"/>
          <w:szCs w:val="22"/>
        </w:rPr>
        <w:t> that accepted the glyphosate MRLs, </w:t>
      </w:r>
      <w:hyperlink r:id="rId36" w:history="1">
        <w:r w:rsidR="00F1061D" w:rsidRPr="001F7139">
          <w:rPr>
            <w:rStyle w:val="Hyperlink"/>
            <w:rFonts w:asciiTheme="minorHAnsi" w:hAnsiTheme="minorHAnsi" w:cstheme="minorHAnsi"/>
            <w:color w:val="auto"/>
            <w:sz w:val="22"/>
            <w:szCs w:val="22"/>
          </w:rPr>
          <w:t> </w:t>
        </w:r>
        <w:proofErr w:type="spellStart"/>
        <w:r w:rsidR="00F1061D" w:rsidRPr="001F7139">
          <w:rPr>
            <w:rStyle w:val="Hyperlink"/>
            <w:rFonts w:asciiTheme="minorHAnsi" w:hAnsiTheme="minorHAnsi" w:cstheme="minorHAnsi"/>
            <w:color w:val="auto"/>
            <w:sz w:val="22"/>
            <w:szCs w:val="22"/>
          </w:rPr>
          <w:t>Croplife</w:t>
        </w:r>
        <w:proofErr w:type="spellEnd"/>
        <w:r w:rsidR="00F1061D" w:rsidRPr="001F7139">
          <w:rPr>
            <w:rStyle w:val="Hyperlink"/>
            <w:rFonts w:asciiTheme="minorHAnsi" w:hAnsiTheme="minorHAnsi" w:cstheme="minorHAnsi"/>
            <w:color w:val="auto"/>
            <w:sz w:val="22"/>
            <w:szCs w:val="22"/>
          </w:rPr>
          <w:t xml:space="preserve"> International</w:t>
        </w:r>
      </w:hyperlink>
      <w:r w:rsidR="00F1061D" w:rsidRPr="001F7139">
        <w:rPr>
          <w:rFonts w:asciiTheme="minorHAnsi" w:hAnsiTheme="minorHAnsi" w:cstheme="minorHAnsi"/>
          <w:sz w:val="22"/>
          <w:szCs w:val="22"/>
        </w:rPr>
        <w:t>, an association of the world’s largest pesticide companies, </w:t>
      </w:r>
      <w:r w:rsidR="00F1061D" w:rsidRPr="001F7139">
        <w:rPr>
          <w:rStyle w:val="Strong"/>
          <w:rFonts w:asciiTheme="minorHAnsi" w:hAnsiTheme="minorHAnsi" w:cstheme="minorHAnsi"/>
          <w:sz w:val="22"/>
          <w:szCs w:val="22"/>
        </w:rPr>
        <w:t>was represented by 68 people</w:t>
      </w:r>
      <w:r w:rsidR="00F1061D" w:rsidRPr="001F7139">
        <w:rPr>
          <w:rFonts w:asciiTheme="minorHAnsi" w:hAnsiTheme="minorHAnsi" w:cstheme="minorHAnsi"/>
          <w:sz w:val="22"/>
          <w:szCs w:val="22"/>
        </w:rPr>
        <w:t>. Canada had 9.  Canada had </w:t>
      </w:r>
      <w:r w:rsidR="00F1061D" w:rsidRPr="001F7139">
        <w:rPr>
          <w:rStyle w:val="Strong"/>
          <w:rFonts w:asciiTheme="minorHAnsi" w:hAnsiTheme="minorHAnsi" w:cstheme="minorHAnsi"/>
          <w:sz w:val="22"/>
          <w:szCs w:val="22"/>
        </w:rPr>
        <w:t>no objections</w:t>
      </w:r>
      <w:r w:rsidR="00F1061D" w:rsidRPr="001F7139">
        <w:rPr>
          <w:rFonts w:asciiTheme="minorHAnsi" w:hAnsiTheme="minorHAnsi" w:cstheme="minorHAnsi"/>
          <w:sz w:val="22"/>
          <w:szCs w:val="22"/>
        </w:rPr>
        <w:t> to the increases. (See</w:t>
      </w:r>
      <w:hyperlink r:id="rId37" w:history="1">
        <w:r w:rsidR="00F1061D" w:rsidRPr="001F7139">
          <w:rPr>
            <w:rStyle w:val="Hyperlink"/>
            <w:rFonts w:asciiTheme="minorHAnsi" w:hAnsiTheme="minorHAnsi" w:cstheme="minorHAnsi"/>
            <w:color w:val="auto"/>
            <w:sz w:val="22"/>
            <w:szCs w:val="22"/>
          </w:rPr>
          <w:t> the Report and Appendix I</w:t>
        </w:r>
      </w:hyperlink>
      <w:r w:rsidR="00F1061D" w:rsidRPr="001F7139">
        <w:rPr>
          <w:rFonts w:asciiTheme="minorHAnsi" w:hAnsiTheme="minorHAnsi" w:cstheme="minorHAnsi"/>
          <w:sz w:val="22"/>
          <w:szCs w:val="22"/>
        </w:rPr>
        <w:t>).</w:t>
      </w:r>
    </w:p>
    <w:p w14:paraId="11869D5E" w14:textId="17DDF75F" w:rsidR="0029596A" w:rsidRDefault="00D62AC4" w:rsidP="00627F9D">
      <w:pPr>
        <w:pStyle w:val="NormalWeb"/>
        <w:spacing w:after="0"/>
        <w:rPr>
          <w:rFonts w:asciiTheme="minorHAnsi" w:hAnsiTheme="minorHAnsi" w:cstheme="minorHAnsi"/>
          <w:sz w:val="22"/>
          <w:szCs w:val="22"/>
        </w:rPr>
      </w:pPr>
      <w:r>
        <w:rPr>
          <w:rFonts w:asciiTheme="minorHAnsi" w:hAnsiTheme="minorHAnsi" w:cstheme="minorHAnsi"/>
          <w:sz w:val="22"/>
          <w:szCs w:val="22"/>
        </w:rPr>
        <w:t xml:space="preserve">- </w:t>
      </w:r>
      <w:r w:rsidR="00F15F29" w:rsidRPr="001F7139">
        <w:rPr>
          <w:rFonts w:asciiTheme="minorHAnsi" w:hAnsiTheme="minorHAnsi" w:cstheme="minorHAnsi"/>
          <w:sz w:val="22"/>
          <w:szCs w:val="22"/>
        </w:rPr>
        <w:t>The FAO of the United Nations</w:t>
      </w:r>
      <w:r w:rsidR="00A352D1">
        <w:rPr>
          <w:rFonts w:asciiTheme="minorHAnsi" w:hAnsiTheme="minorHAnsi" w:cstheme="minorHAnsi"/>
          <w:sz w:val="22"/>
          <w:szCs w:val="22"/>
        </w:rPr>
        <w:t xml:space="preserve"> (part of the JMPR)</w:t>
      </w:r>
      <w:r w:rsidR="00F15F29" w:rsidRPr="001F7139">
        <w:rPr>
          <w:rFonts w:asciiTheme="minorHAnsi" w:hAnsiTheme="minorHAnsi" w:cstheme="minorHAnsi"/>
          <w:sz w:val="22"/>
          <w:szCs w:val="22"/>
        </w:rPr>
        <w:t xml:space="preserve"> is openly working with and intends to increase collabo</w:t>
      </w:r>
      <w:r w:rsidR="00C533A9" w:rsidRPr="001F7139">
        <w:rPr>
          <w:rFonts w:asciiTheme="minorHAnsi" w:hAnsiTheme="minorHAnsi" w:cstheme="minorHAnsi"/>
          <w:sz w:val="22"/>
          <w:szCs w:val="22"/>
        </w:rPr>
        <w:t xml:space="preserve">ration </w:t>
      </w:r>
      <w:r w:rsidR="00F15F29" w:rsidRPr="001F7139">
        <w:rPr>
          <w:rFonts w:asciiTheme="minorHAnsi" w:hAnsiTheme="minorHAnsi" w:cstheme="minorHAnsi"/>
          <w:sz w:val="22"/>
          <w:szCs w:val="22"/>
        </w:rPr>
        <w:t xml:space="preserve">with the private sector through its </w:t>
      </w:r>
      <w:r w:rsidR="00F15F29" w:rsidRPr="001F7139">
        <w:rPr>
          <w:rFonts w:asciiTheme="minorHAnsi" w:hAnsiTheme="minorHAnsi" w:cstheme="minorHAnsi"/>
          <w:sz w:val="22"/>
          <w:szCs w:val="22"/>
          <w:shd w:val="clear" w:color="auto" w:fill="FFFFFF"/>
        </w:rPr>
        <w:t> </w:t>
      </w:r>
      <w:hyperlink r:id="rId38" w:history="1">
        <w:r w:rsidR="00F15F29" w:rsidRPr="001F7139">
          <w:rPr>
            <w:rStyle w:val="Hyperlink"/>
            <w:rFonts w:asciiTheme="minorHAnsi" w:hAnsiTheme="minorHAnsi" w:cstheme="minorHAnsi"/>
            <w:color w:val="auto"/>
            <w:sz w:val="22"/>
            <w:szCs w:val="22"/>
            <w:shd w:val="clear" w:color="auto" w:fill="FFFFFF"/>
          </w:rPr>
          <w:t>Strategy for Private Sector Engagement</w:t>
        </w:r>
      </w:hyperlink>
      <w:r w:rsidR="00F15F29" w:rsidRPr="001F7139">
        <w:rPr>
          <w:rFonts w:asciiTheme="minorHAnsi" w:hAnsiTheme="minorHAnsi" w:cstheme="minorHAnsi"/>
          <w:sz w:val="22"/>
          <w:szCs w:val="22"/>
        </w:rPr>
        <w:t xml:space="preserve">.  </w:t>
      </w:r>
      <w:r w:rsidR="00826FE3" w:rsidRPr="001F7139">
        <w:rPr>
          <w:rFonts w:asciiTheme="minorHAnsi" w:hAnsiTheme="minorHAnsi" w:cstheme="minorHAnsi"/>
          <w:sz w:val="22"/>
          <w:szCs w:val="22"/>
        </w:rPr>
        <w:t xml:space="preserve">The FAO </w:t>
      </w:r>
      <w:hyperlink r:id="rId39" w:history="1">
        <w:r w:rsidR="00826FE3" w:rsidRPr="001F7139">
          <w:rPr>
            <w:rStyle w:val="Hyperlink"/>
            <w:rFonts w:asciiTheme="minorHAnsi" w:hAnsiTheme="minorHAnsi" w:cstheme="minorHAnsi"/>
            <w:color w:val="auto"/>
            <w:sz w:val="22"/>
            <w:szCs w:val="22"/>
          </w:rPr>
          <w:t>International Code of Conduct on Pesticide Management</w:t>
        </w:r>
      </w:hyperlink>
      <w:r w:rsidR="00421299" w:rsidRPr="001F7139">
        <w:rPr>
          <w:rFonts w:asciiTheme="minorHAnsi" w:hAnsiTheme="minorHAnsi" w:cstheme="minorHAnsi"/>
          <w:sz w:val="22"/>
          <w:szCs w:val="22"/>
        </w:rPr>
        <w:t xml:space="preserve"> applies to governments and the pesticide industry, and its goal is to </w:t>
      </w:r>
      <w:r w:rsidR="00627F9D" w:rsidRPr="001F7139">
        <w:rPr>
          <w:rFonts w:asciiTheme="minorHAnsi" w:hAnsiTheme="minorHAnsi" w:cstheme="minorHAnsi"/>
          <w:sz w:val="22"/>
          <w:szCs w:val="22"/>
        </w:rPr>
        <w:t xml:space="preserve">maximize the benefits of pesticides (with honourable mention of protecting human health and the environment). Governments are required to "regulate and monitor pesticide residues in food notably in accordance with the recommendations of the Codex </w:t>
      </w:r>
      <w:proofErr w:type="spellStart"/>
      <w:r w:rsidR="00627F9D" w:rsidRPr="001F7139">
        <w:rPr>
          <w:rFonts w:asciiTheme="minorHAnsi" w:hAnsiTheme="minorHAnsi" w:cstheme="minorHAnsi"/>
          <w:sz w:val="22"/>
          <w:szCs w:val="22"/>
        </w:rPr>
        <w:t>Alimentarus</w:t>
      </w:r>
      <w:proofErr w:type="spellEnd"/>
      <w:r w:rsidR="00627F9D" w:rsidRPr="001F7139">
        <w:rPr>
          <w:rFonts w:asciiTheme="minorHAnsi" w:hAnsiTheme="minorHAnsi" w:cstheme="minorHAnsi"/>
          <w:sz w:val="22"/>
          <w:szCs w:val="22"/>
        </w:rPr>
        <w:t>" (including the CCPR)</w:t>
      </w:r>
      <w:r w:rsidR="00E3681B" w:rsidRPr="001F7139">
        <w:rPr>
          <w:rFonts w:asciiTheme="minorHAnsi" w:hAnsiTheme="minorHAnsi" w:cstheme="minorHAnsi"/>
          <w:sz w:val="22"/>
          <w:szCs w:val="22"/>
        </w:rPr>
        <w:t>.</w:t>
      </w:r>
    </w:p>
    <w:p w14:paraId="2DD6CF68" w14:textId="7EFDA10E" w:rsidR="009D7F35" w:rsidRDefault="009D7F35" w:rsidP="002671E2">
      <w:pPr>
        <w:pStyle w:val="Heading2"/>
      </w:pPr>
      <w:bookmarkStart w:id="27" w:name="_Toc145431579"/>
      <w:r w:rsidRPr="004C14D2">
        <w:t>PMRA "Protects the Pest Industry over Canadians</w:t>
      </w:r>
      <w:r>
        <w:t>"</w:t>
      </w:r>
      <w:bookmarkEnd w:id="27"/>
    </w:p>
    <w:p w14:paraId="36E7FD1E" w14:textId="038FEBE0" w:rsidR="00E3681B" w:rsidRPr="001F7139" w:rsidRDefault="0029596A" w:rsidP="00627F9D">
      <w:pPr>
        <w:pStyle w:val="NormalWeb"/>
        <w:spacing w:after="0"/>
        <w:rPr>
          <w:rFonts w:asciiTheme="minorHAnsi" w:hAnsiTheme="minorHAnsi" w:cstheme="minorHAnsi"/>
          <w:sz w:val="22"/>
          <w:szCs w:val="22"/>
        </w:rPr>
      </w:pPr>
      <w:r>
        <w:rPr>
          <w:rFonts w:asciiTheme="minorHAnsi" w:hAnsiTheme="minorHAnsi" w:cstheme="minorHAnsi"/>
          <w:sz w:val="22"/>
          <w:szCs w:val="22"/>
        </w:rPr>
        <w:t>- It is clear that the OECD Process and players are driven by the private sector and the pesticide industry</w:t>
      </w:r>
      <w:r w:rsidR="005E41BC">
        <w:rPr>
          <w:rFonts w:asciiTheme="minorHAnsi" w:hAnsiTheme="minorHAnsi" w:cstheme="minorHAnsi"/>
          <w:sz w:val="22"/>
          <w:szCs w:val="22"/>
        </w:rPr>
        <w:t>,</w:t>
      </w:r>
      <w:r>
        <w:rPr>
          <w:rFonts w:asciiTheme="minorHAnsi" w:hAnsiTheme="minorHAnsi" w:cstheme="minorHAnsi"/>
          <w:sz w:val="22"/>
          <w:szCs w:val="22"/>
        </w:rPr>
        <w:t xml:space="preserve"> </w:t>
      </w:r>
      <w:r w:rsidR="005F5F06">
        <w:rPr>
          <w:rFonts w:asciiTheme="minorHAnsi" w:hAnsiTheme="minorHAnsi" w:cstheme="minorHAnsi"/>
          <w:sz w:val="22"/>
          <w:szCs w:val="22"/>
        </w:rPr>
        <w:t xml:space="preserve">whose goal is </w:t>
      </w:r>
      <w:r>
        <w:rPr>
          <w:rFonts w:asciiTheme="minorHAnsi" w:hAnsiTheme="minorHAnsi" w:cstheme="minorHAnsi"/>
          <w:sz w:val="22"/>
          <w:szCs w:val="22"/>
        </w:rPr>
        <w:t xml:space="preserve">to harmonize MRLs internationally at high levels. </w:t>
      </w:r>
      <w:r w:rsidR="000931C7">
        <w:rPr>
          <w:rFonts w:asciiTheme="minorHAnsi" w:hAnsiTheme="minorHAnsi" w:cstheme="minorHAnsi"/>
          <w:sz w:val="22"/>
          <w:szCs w:val="22"/>
        </w:rPr>
        <w:t xml:space="preserve">The position of PMRA on MRLs explained above, and </w:t>
      </w:r>
      <w:r>
        <w:rPr>
          <w:rFonts w:asciiTheme="minorHAnsi" w:hAnsiTheme="minorHAnsi" w:cstheme="minorHAnsi"/>
          <w:sz w:val="22"/>
          <w:szCs w:val="22"/>
        </w:rPr>
        <w:t xml:space="preserve">PMRA's adoption and furtherance of this </w:t>
      </w:r>
      <w:r w:rsidR="005F5F06">
        <w:rPr>
          <w:rFonts w:asciiTheme="minorHAnsi" w:hAnsiTheme="minorHAnsi" w:cstheme="minorHAnsi"/>
          <w:sz w:val="22"/>
          <w:szCs w:val="22"/>
        </w:rPr>
        <w:t xml:space="preserve">international </w:t>
      </w:r>
      <w:r>
        <w:rPr>
          <w:rFonts w:asciiTheme="minorHAnsi" w:hAnsiTheme="minorHAnsi" w:cstheme="minorHAnsi"/>
          <w:sz w:val="22"/>
          <w:szCs w:val="22"/>
        </w:rPr>
        <w:t>process</w:t>
      </w:r>
      <w:r w:rsidR="000931C7">
        <w:rPr>
          <w:rFonts w:asciiTheme="minorHAnsi" w:hAnsiTheme="minorHAnsi" w:cstheme="minorHAnsi"/>
          <w:sz w:val="22"/>
          <w:szCs w:val="22"/>
        </w:rPr>
        <w:t>,</w:t>
      </w:r>
      <w:r>
        <w:rPr>
          <w:rFonts w:asciiTheme="minorHAnsi" w:hAnsiTheme="minorHAnsi" w:cstheme="minorHAnsi"/>
          <w:sz w:val="22"/>
          <w:szCs w:val="22"/>
        </w:rPr>
        <w:t xml:space="preserve"> reveals a</w:t>
      </w:r>
      <w:r w:rsidR="00820815">
        <w:rPr>
          <w:rFonts w:asciiTheme="minorHAnsi" w:hAnsiTheme="minorHAnsi" w:cstheme="minorHAnsi"/>
          <w:sz w:val="22"/>
          <w:szCs w:val="22"/>
        </w:rPr>
        <w:t>n</w:t>
      </w:r>
      <w:r>
        <w:rPr>
          <w:rFonts w:asciiTheme="minorHAnsi" w:hAnsiTheme="minorHAnsi" w:cstheme="minorHAnsi"/>
          <w:sz w:val="22"/>
          <w:szCs w:val="22"/>
        </w:rPr>
        <w:t xml:space="preserve"> </w:t>
      </w:r>
      <w:r w:rsidR="00A352D1">
        <w:rPr>
          <w:rFonts w:asciiTheme="minorHAnsi" w:hAnsiTheme="minorHAnsi" w:cstheme="minorHAnsi"/>
          <w:sz w:val="22"/>
          <w:szCs w:val="22"/>
        </w:rPr>
        <w:t xml:space="preserve">approach that </w:t>
      </w:r>
      <w:r>
        <w:rPr>
          <w:rFonts w:asciiTheme="minorHAnsi" w:hAnsiTheme="minorHAnsi" w:cstheme="minorHAnsi"/>
          <w:sz w:val="22"/>
          <w:szCs w:val="22"/>
        </w:rPr>
        <w:t>"protect</w:t>
      </w:r>
      <w:r w:rsidR="00A352D1">
        <w:rPr>
          <w:rFonts w:asciiTheme="minorHAnsi" w:hAnsiTheme="minorHAnsi" w:cstheme="minorHAnsi"/>
          <w:sz w:val="22"/>
          <w:szCs w:val="22"/>
        </w:rPr>
        <w:t>s</w:t>
      </w:r>
      <w:r>
        <w:rPr>
          <w:rFonts w:asciiTheme="minorHAnsi" w:hAnsiTheme="minorHAnsi" w:cstheme="minorHAnsi"/>
          <w:sz w:val="22"/>
          <w:szCs w:val="22"/>
        </w:rPr>
        <w:t xml:space="preserve"> the pest industry over Canadians".</w:t>
      </w:r>
      <w:r w:rsidR="009D7F35">
        <w:rPr>
          <w:rFonts w:asciiTheme="minorHAnsi" w:hAnsiTheme="minorHAnsi" w:cstheme="minorHAnsi"/>
          <w:sz w:val="22"/>
          <w:szCs w:val="22"/>
        </w:rPr>
        <w:t xml:space="preserve"> </w:t>
      </w:r>
    </w:p>
    <w:sectPr w:rsidR="00E3681B" w:rsidRPr="001F7139" w:rsidSect="00E2036E">
      <w:headerReference w:type="default" r:id="rId40"/>
      <w:footerReference w:type="default" r:id="rId41"/>
      <w:pgSz w:w="12240" w:h="15840"/>
      <w:pgMar w:top="720" w:right="720" w:bottom="720" w:left="72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5925" w14:textId="77777777" w:rsidR="00821A1C" w:rsidRDefault="00821A1C" w:rsidP="000F22AA">
      <w:pPr>
        <w:spacing w:after="0" w:line="240" w:lineRule="auto"/>
      </w:pPr>
      <w:r>
        <w:separator/>
      </w:r>
    </w:p>
  </w:endnote>
  <w:endnote w:type="continuationSeparator" w:id="0">
    <w:p w14:paraId="75EC786E" w14:textId="77777777" w:rsidR="00821A1C" w:rsidRDefault="00821A1C" w:rsidP="000F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082393"/>
      <w:docPartObj>
        <w:docPartGallery w:val="Page Numbers (Bottom of Page)"/>
        <w:docPartUnique/>
      </w:docPartObj>
    </w:sdtPr>
    <w:sdtEndPr>
      <w:rPr>
        <w:noProof/>
      </w:rPr>
    </w:sdtEndPr>
    <w:sdtContent>
      <w:p w14:paraId="219A273C" w14:textId="3C712D8B" w:rsidR="006605B9" w:rsidRDefault="006605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F36F3" w14:textId="77777777" w:rsidR="006605B9" w:rsidRDefault="00660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21BA" w14:textId="77777777" w:rsidR="00821A1C" w:rsidRDefault="00821A1C" w:rsidP="000F22AA">
      <w:pPr>
        <w:spacing w:after="0" w:line="240" w:lineRule="auto"/>
      </w:pPr>
      <w:r>
        <w:separator/>
      </w:r>
    </w:p>
  </w:footnote>
  <w:footnote w:type="continuationSeparator" w:id="0">
    <w:p w14:paraId="15317F55" w14:textId="77777777" w:rsidR="00821A1C" w:rsidRDefault="00821A1C" w:rsidP="000F2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A0E6" w14:textId="4CCE2B49" w:rsidR="000F22AA" w:rsidRDefault="00987019" w:rsidP="003467AF">
    <w:r>
      <w:rPr>
        <w:noProof/>
      </w:rPr>
      <w:drawing>
        <wp:inline distT="0" distB="0" distL="0" distR="0" wp14:anchorId="338E00B7" wp14:editId="279E1629">
          <wp:extent cx="2733675" cy="793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514" cy="847673"/>
                  </a:xfrm>
                  <a:prstGeom prst="rect">
                    <a:avLst/>
                  </a:prstGeom>
                  <a:noFill/>
                  <a:ln>
                    <a:noFill/>
                  </a:ln>
                </pic:spPr>
              </pic:pic>
            </a:graphicData>
          </a:graphic>
        </wp:inline>
      </w:drawing>
    </w:r>
    <w:r w:rsidR="00955AED">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B9E"/>
    <w:multiLevelType w:val="hybridMultilevel"/>
    <w:tmpl w:val="8A8CB5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B5272A"/>
    <w:multiLevelType w:val="hybridMultilevel"/>
    <w:tmpl w:val="70141E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2543A7"/>
    <w:multiLevelType w:val="hybridMultilevel"/>
    <w:tmpl w:val="22A8124E"/>
    <w:lvl w:ilvl="0" w:tplc="AF640424">
      <w:numFmt w:val="bullet"/>
      <w:lvlText w:val="-"/>
      <w:lvlJc w:val="left"/>
      <w:pPr>
        <w:ind w:left="410" w:hanging="360"/>
      </w:pPr>
      <w:rPr>
        <w:rFonts w:ascii="Calibri" w:eastAsiaTheme="minorEastAsia" w:hAnsi="Calibri" w:cs="Calibri"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3" w15:restartNumberingAfterBreak="0">
    <w:nsid w:val="0DB34DAF"/>
    <w:multiLevelType w:val="hybridMultilevel"/>
    <w:tmpl w:val="563E23DA"/>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6043FCD"/>
    <w:multiLevelType w:val="hybridMultilevel"/>
    <w:tmpl w:val="B846C5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CC737D1"/>
    <w:multiLevelType w:val="hybridMultilevel"/>
    <w:tmpl w:val="17F45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E64A8F"/>
    <w:multiLevelType w:val="hybridMultilevel"/>
    <w:tmpl w:val="2780D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737AF3"/>
    <w:multiLevelType w:val="multilevel"/>
    <w:tmpl w:val="1818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076C8C"/>
    <w:multiLevelType w:val="hybridMultilevel"/>
    <w:tmpl w:val="231E76AC"/>
    <w:lvl w:ilvl="0" w:tplc="AF640424">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D23B16"/>
    <w:multiLevelType w:val="hybridMultilevel"/>
    <w:tmpl w:val="E19E0B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9F3607C"/>
    <w:multiLevelType w:val="multilevel"/>
    <w:tmpl w:val="66DA1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70D00"/>
    <w:multiLevelType w:val="hybridMultilevel"/>
    <w:tmpl w:val="EBBC3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590BCE"/>
    <w:multiLevelType w:val="hybridMultilevel"/>
    <w:tmpl w:val="390042E8"/>
    <w:lvl w:ilvl="0" w:tplc="AF640424">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EE3304B"/>
    <w:multiLevelType w:val="hybridMultilevel"/>
    <w:tmpl w:val="BE2C3F3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1449F4"/>
    <w:multiLevelType w:val="hybridMultilevel"/>
    <w:tmpl w:val="4C20FA82"/>
    <w:lvl w:ilvl="0" w:tplc="10090001">
      <w:start w:val="1"/>
      <w:numFmt w:val="bullet"/>
      <w:lvlText w:val=""/>
      <w:lvlJc w:val="left"/>
      <w:pPr>
        <w:ind w:left="360" w:hanging="360"/>
      </w:pPr>
      <w:rPr>
        <w:rFonts w:ascii="Symbol" w:hAnsi="Symbol" w:hint="default"/>
      </w:rPr>
    </w:lvl>
    <w:lvl w:ilvl="1" w:tplc="AF640424">
      <w:numFmt w:val="bullet"/>
      <w:lvlText w:val="-"/>
      <w:lvlJc w:val="left"/>
      <w:pPr>
        <w:ind w:left="1080" w:hanging="360"/>
      </w:pPr>
      <w:rPr>
        <w:rFonts w:ascii="Calibri" w:eastAsiaTheme="minorEastAsia" w:hAnsi="Calibri" w:cs="Calibri"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37F050F"/>
    <w:multiLevelType w:val="hybridMultilevel"/>
    <w:tmpl w:val="9F8C411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46A2AE6"/>
    <w:multiLevelType w:val="multilevel"/>
    <w:tmpl w:val="D334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C5AE8"/>
    <w:multiLevelType w:val="hybridMultilevel"/>
    <w:tmpl w:val="FE302702"/>
    <w:lvl w:ilvl="0" w:tplc="4FBA0602">
      <w:start w:val="1"/>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AA5F7B"/>
    <w:multiLevelType w:val="multilevel"/>
    <w:tmpl w:val="5C46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703662"/>
    <w:multiLevelType w:val="hybridMultilevel"/>
    <w:tmpl w:val="2A988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743714"/>
    <w:multiLevelType w:val="hybridMultilevel"/>
    <w:tmpl w:val="40C408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6160829"/>
    <w:multiLevelType w:val="hybridMultilevel"/>
    <w:tmpl w:val="0DD63C90"/>
    <w:lvl w:ilvl="0" w:tplc="27B0D08A">
      <w:start w:val="1"/>
      <w:numFmt w:val="bullet"/>
      <w:lvlText w:val="o"/>
      <w:lvlJc w:val="left"/>
      <w:pPr>
        <w:ind w:left="410" w:hanging="360"/>
      </w:pPr>
      <w:rPr>
        <w:rFonts w:ascii="Courier New" w:hAnsi="Courier New" w:hint="default"/>
      </w:rPr>
    </w:lvl>
    <w:lvl w:ilvl="1" w:tplc="27B0D08A">
      <w:start w:val="1"/>
      <w:numFmt w:val="bullet"/>
      <w:lvlText w:val="o"/>
      <w:lvlJc w:val="left"/>
      <w:pPr>
        <w:ind w:left="1440" w:hanging="108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4B2AC9"/>
    <w:multiLevelType w:val="hybridMultilevel"/>
    <w:tmpl w:val="443AF9DE"/>
    <w:lvl w:ilvl="0" w:tplc="10090001">
      <w:start w:val="1"/>
      <w:numFmt w:val="bullet"/>
      <w:lvlText w:val=""/>
      <w:lvlJc w:val="left"/>
      <w:pPr>
        <w:ind w:left="820" w:hanging="360"/>
      </w:pPr>
      <w:rPr>
        <w:rFonts w:ascii="Symbol" w:hAnsi="Symbol" w:hint="default"/>
      </w:rPr>
    </w:lvl>
    <w:lvl w:ilvl="1" w:tplc="10090003">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3" w15:restartNumberingAfterBreak="0">
    <w:nsid w:val="79A74DBA"/>
    <w:multiLevelType w:val="hybridMultilevel"/>
    <w:tmpl w:val="BE4012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07229641">
    <w:abstractNumId w:val="1"/>
  </w:num>
  <w:num w:numId="2" w16cid:durableId="481429847">
    <w:abstractNumId w:val="6"/>
  </w:num>
  <w:num w:numId="3" w16cid:durableId="78718413">
    <w:abstractNumId w:val="4"/>
  </w:num>
  <w:num w:numId="4" w16cid:durableId="1938243596">
    <w:abstractNumId w:val="11"/>
  </w:num>
  <w:num w:numId="5" w16cid:durableId="620649572">
    <w:abstractNumId w:val="0"/>
  </w:num>
  <w:num w:numId="6" w16cid:durableId="116411604">
    <w:abstractNumId w:val="3"/>
  </w:num>
  <w:num w:numId="7" w16cid:durableId="1101415308">
    <w:abstractNumId w:val="14"/>
  </w:num>
  <w:num w:numId="8" w16cid:durableId="2049183776">
    <w:abstractNumId w:val="13"/>
  </w:num>
  <w:num w:numId="9" w16cid:durableId="2071997574">
    <w:abstractNumId w:val="2"/>
  </w:num>
  <w:num w:numId="10" w16cid:durableId="612204035">
    <w:abstractNumId w:val="21"/>
  </w:num>
  <w:num w:numId="11" w16cid:durableId="1971980024">
    <w:abstractNumId w:val="19"/>
  </w:num>
  <w:num w:numId="12" w16cid:durableId="187957310">
    <w:abstractNumId w:val="12"/>
  </w:num>
  <w:num w:numId="13" w16cid:durableId="36512339">
    <w:abstractNumId w:val="15"/>
  </w:num>
  <w:num w:numId="14" w16cid:durableId="811406420">
    <w:abstractNumId w:val="20"/>
  </w:num>
  <w:num w:numId="15" w16cid:durableId="612445212">
    <w:abstractNumId w:val="8"/>
  </w:num>
  <w:num w:numId="16" w16cid:durableId="1548571124">
    <w:abstractNumId w:val="23"/>
  </w:num>
  <w:num w:numId="17" w16cid:durableId="1668936">
    <w:abstractNumId w:val="17"/>
  </w:num>
  <w:num w:numId="18" w16cid:durableId="1763993810">
    <w:abstractNumId w:val="9"/>
  </w:num>
  <w:num w:numId="19" w16cid:durableId="874657706">
    <w:abstractNumId w:val="16"/>
  </w:num>
  <w:num w:numId="20" w16cid:durableId="715273532">
    <w:abstractNumId w:val="18"/>
  </w:num>
  <w:num w:numId="21" w16cid:durableId="661347649">
    <w:abstractNumId w:val="10"/>
  </w:num>
  <w:num w:numId="22" w16cid:durableId="1348285343">
    <w:abstractNumId w:val="5"/>
  </w:num>
  <w:num w:numId="23" w16cid:durableId="1820460378">
    <w:abstractNumId w:val="22"/>
  </w:num>
  <w:num w:numId="24" w16cid:durableId="20810971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12"/>
    <w:rsid w:val="00010BFD"/>
    <w:rsid w:val="00012190"/>
    <w:rsid w:val="0001637C"/>
    <w:rsid w:val="00020FDA"/>
    <w:rsid w:val="00024D67"/>
    <w:rsid w:val="000279CD"/>
    <w:rsid w:val="0003417A"/>
    <w:rsid w:val="00036478"/>
    <w:rsid w:val="00045C1C"/>
    <w:rsid w:val="0007006F"/>
    <w:rsid w:val="00070F36"/>
    <w:rsid w:val="000931C7"/>
    <w:rsid w:val="0009445B"/>
    <w:rsid w:val="000973C6"/>
    <w:rsid w:val="000B3E47"/>
    <w:rsid w:val="000B7150"/>
    <w:rsid w:val="000D106A"/>
    <w:rsid w:val="000F22AA"/>
    <w:rsid w:val="001204C3"/>
    <w:rsid w:val="001270A4"/>
    <w:rsid w:val="0013210E"/>
    <w:rsid w:val="0014438A"/>
    <w:rsid w:val="00145BDC"/>
    <w:rsid w:val="00151E12"/>
    <w:rsid w:val="00152A2E"/>
    <w:rsid w:val="00160D0C"/>
    <w:rsid w:val="00167ADE"/>
    <w:rsid w:val="00180C8C"/>
    <w:rsid w:val="00187F08"/>
    <w:rsid w:val="00191286"/>
    <w:rsid w:val="001A122F"/>
    <w:rsid w:val="001A1E9E"/>
    <w:rsid w:val="001A2902"/>
    <w:rsid w:val="001A6622"/>
    <w:rsid w:val="001B6545"/>
    <w:rsid w:val="001C5367"/>
    <w:rsid w:val="001D1AF1"/>
    <w:rsid w:val="001D731C"/>
    <w:rsid w:val="001E1DC4"/>
    <w:rsid w:val="001F7139"/>
    <w:rsid w:val="001F7227"/>
    <w:rsid w:val="001F7AE3"/>
    <w:rsid w:val="002008E2"/>
    <w:rsid w:val="00212B67"/>
    <w:rsid w:val="002240AF"/>
    <w:rsid w:val="00232096"/>
    <w:rsid w:val="002540F9"/>
    <w:rsid w:val="00255D96"/>
    <w:rsid w:val="00266111"/>
    <w:rsid w:val="002671E2"/>
    <w:rsid w:val="00271103"/>
    <w:rsid w:val="00276B51"/>
    <w:rsid w:val="00287EC9"/>
    <w:rsid w:val="0029381A"/>
    <w:rsid w:val="002951AF"/>
    <w:rsid w:val="0029596A"/>
    <w:rsid w:val="002C6703"/>
    <w:rsid w:val="002D6693"/>
    <w:rsid w:val="002E59D9"/>
    <w:rsid w:val="002F04AF"/>
    <w:rsid w:val="002F3768"/>
    <w:rsid w:val="003000DF"/>
    <w:rsid w:val="003036FB"/>
    <w:rsid w:val="0030468D"/>
    <w:rsid w:val="00305F30"/>
    <w:rsid w:val="00310818"/>
    <w:rsid w:val="00313441"/>
    <w:rsid w:val="00320CF6"/>
    <w:rsid w:val="0033629D"/>
    <w:rsid w:val="0033759F"/>
    <w:rsid w:val="003467AF"/>
    <w:rsid w:val="00353780"/>
    <w:rsid w:val="00363452"/>
    <w:rsid w:val="003635B9"/>
    <w:rsid w:val="00364FCB"/>
    <w:rsid w:val="003655FA"/>
    <w:rsid w:val="00365919"/>
    <w:rsid w:val="00392C15"/>
    <w:rsid w:val="003A158F"/>
    <w:rsid w:val="003A2EAB"/>
    <w:rsid w:val="003B0BDD"/>
    <w:rsid w:val="003C38AA"/>
    <w:rsid w:val="003C52E5"/>
    <w:rsid w:val="003D470B"/>
    <w:rsid w:val="003D79ED"/>
    <w:rsid w:val="003E3088"/>
    <w:rsid w:val="003E4FB3"/>
    <w:rsid w:val="003E50D4"/>
    <w:rsid w:val="004013AB"/>
    <w:rsid w:val="00411A05"/>
    <w:rsid w:val="004128B8"/>
    <w:rsid w:val="00413680"/>
    <w:rsid w:val="00421299"/>
    <w:rsid w:val="00432D67"/>
    <w:rsid w:val="00434434"/>
    <w:rsid w:val="004351FE"/>
    <w:rsid w:val="00446592"/>
    <w:rsid w:val="004538F1"/>
    <w:rsid w:val="00457360"/>
    <w:rsid w:val="00481B98"/>
    <w:rsid w:val="004832C4"/>
    <w:rsid w:val="0048699D"/>
    <w:rsid w:val="00492632"/>
    <w:rsid w:val="00494750"/>
    <w:rsid w:val="0049475A"/>
    <w:rsid w:val="00497C80"/>
    <w:rsid w:val="004B4191"/>
    <w:rsid w:val="004B627C"/>
    <w:rsid w:val="004C14D2"/>
    <w:rsid w:val="004C1567"/>
    <w:rsid w:val="004D282C"/>
    <w:rsid w:val="004D6A34"/>
    <w:rsid w:val="004E27D1"/>
    <w:rsid w:val="004F6211"/>
    <w:rsid w:val="004F7E8F"/>
    <w:rsid w:val="00503DA1"/>
    <w:rsid w:val="005270F6"/>
    <w:rsid w:val="00531D69"/>
    <w:rsid w:val="005371D8"/>
    <w:rsid w:val="00544E82"/>
    <w:rsid w:val="00557737"/>
    <w:rsid w:val="00562E4C"/>
    <w:rsid w:val="005704C1"/>
    <w:rsid w:val="005711B5"/>
    <w:rsid w:val="00572882"/>
    <w:rsid w:val="0058375A"/>
    <w:rsid w:val="00586EB1"/>
    <w:rsid w:val="005970EE"/>
    <w:rsid w:val="005A4857"/>
    <w:rsid w:val="005C5C25"/>
    <w:rsid w:val="005D0131"/>
    <w:rsid w:val="005D0485"/>
    <w:rsid w:val="005D51FE"/>
    <w:rsid w:val="005E080D"/>
    <w:rsid w:val="005E1502"/>
    <w:rsid w:val="005E41BC"/>
    <w:rsid w:val="005F084C"/>
    <w:rsid w:val="005F388A"/>
    <w:rsid w:val="005F5F06"/>
    <w:rsid w:val="00627F9D"/>
    <w:rsid w:val="00630F4D"/>
    <w:rsid w:val="006330E0"/>
    <w:rsid w:val="006605B9"/>
    <w:rsid w:val="00661F16"/>
    <w:rsid w:val="00664635"/>
    <w:rsid w:val="00665B08"/>
    <w:rsid w:val="0067660D"/>
    <w:rsid w:val="00680582"/>
    <w:rsid w:val="00682356"/>
    <w:rsid w:val="006836D2"/>
    <w:rsid w:val="00687575"/>
    <w:rsid w:val="00690E9A"/>
    <w:rsid w:val="006A7730"/>
    <w:rsid w:val="006C667A"/>
    <w:rsid w:val="006C671B"/>
    <w:rsid w:val="006E7005"/>
    <w:rsid w:val="006E7A77"/>
    <w:rsid w:val="006F4E03"/>
    <w:rsid w:val="006F6D45"/>
    <w:rsid w:val="00703E1A"/>
    <w:rsid w:val="00717CEC"/>
    <w:rsid w:val="007337D8"/>
    <w:rsid w:val="00733E8C"/>
    <w:rsid w:val="007715DF"/>
    <w:rsid w:val="00773A6F"/>
    <w:rsid w:val="00784B24"/>
    <w:rsid w:val="00792C1B"/>
    <w:rsid w:val="00795B21"/>
    <w:rsid w:val="007A62D8"/>
    <w:rsid w:val="007C6220"/>
    <w:rsid w:val="007D0CC0"/>
    <w:rsid w:val="007D1102"/>
    <w:rsid w:val="007D436D"/>
    <w:rsid w:val="007E7DE5"/>
    <w:rsid w:val="007F5DED"/>
    <w:rsid w:val="008020D1"/>
    <w:rsid w:val="00805759"/>
    <w:rsid w:val="008111F9"/>
    <w:rsid w:val="00820815"/>
    <w:rsid w:val="00821A1C"/>
    <w:rsid w:val="0082290B"/>
    <w:rsid w:val="00826FE3"/>
    <w:rsid w:val="008318AE"/>
    <w:rsid w:val="00834F96"/>
    <w:rsid w:val="00836C01"/>
    <w:rsid w:val="0084159E"/>
    <w:rsid w:val="0085608F"/>
    <w:rsid w:val="00867B9E"/>
    <w:rsid w:val="0087035E"/>
    <w:rsid w:val="008734EC"/>
    <w:rsid w:val="00874D79"/>
    <w:rsid w:val="00877064"/>
    <w:rsid w:val="00887510"/>
    <w:rsid w:val="008A4E90"/>
    <w:rsid w:val="008B561B"/>
    <w:rsid w:val="008B7472"/>
    <w:rsid w:val="008D0F91"/>
    <w:rsid w:val="008D26FA"/>
    <w:rsid w:val="008D5BA2"/>
    <w:rsid w:val="008D64A2"/>
    <w:rsid w:val="0091037A"/>
    <w:rsid w:val="00910BEB"/>
    <w:rsid w:val="00913ABD"/>
    <w:rsid w:val="00916E48"/>
    <w:rsid w:val="009172EE"/>
    <w:rsid w:val="00925A75"/>
    <w:rsid w:val="00936768"/>
    <w:rsid w:val="0095231D"/>
    <w:rsid w:val="00955AED"/>
    <w:rsid w:val="00962A28"/>
    <w:rsid w:val="00987019"/>
    <w:rsid w:val="00987B41"/>
    <w:rsid w:val="009B1C6A"/>
    <w:rsid w:val="009B4664"/>
    <w:rsid w:val="009C23A1"/>
    <w:rsid w:val="009C7C73"/>
    <w:rsid w:val="009D1026"/>
    <w:rsid w:val="009D28EA"/>
    <w:rsid w:val="009D55D9"/>
    <w:rsid w:val="009D7F35"/>
    <w:rsid w:val="009E03DF"/>
    <w:rsid w:val="009E5BA3"/>
    <w:rsid w:val="009E7A61"/>
    <w:rsid w:val="009F36E6"/>
    <w:rsid w:val="009F4496"/>
    <w:rsid w:val="009F654A"/>
    <w:rsid w:val="00A076D5"/>
    <w:rsid w:val="00A15352"/>
    <w:rsid w:val="00A15C8B"/>
    <w:rsid w:val="00A163EE"/>
    <w:rsid w:val="00A24ED9"/>
    <w:rsid w:val="00A352D1"/>
    <w:rsid w:val="00A42F51"/>
    <w:rsid w:val="00A440DB"/>
    <w:rsid w:val="00A8192D"/>
    <w:rsid w:val="00A85729"/>
    <w:rsid w:val="00A91A0D"/>
    <w:rsid w:val="00AA7F58"/>
    <w:rsid w:val="00AB2071"/>
    <w:rsid w:val="00AC08BB"/>
    <w:rsid w:val="00AC3F5B"/>
    <w:rsid w:val="00AC6F4C"/>
    <w:rsid w:val="00AE0E6A"/>
    <w:rsid w:val="00AE4B32"/>
    <w:rsid w:val="00AF0A2A"/>
    <w:rsid w:val="00AF16F4"/>
    <w:rsid w:val="00B10F03"/>
    <w:rsid w:val="00B16A4C"/>
    <w:rsid w:val="00B17D21"/>
    <w:rsid w:val="00B315B9"/>
    <w:rsid w:val="00B35CEC"/>
    <w:rsid w:val="00B36B46"/>
    <w:rsid w:val="00B63DC8"/>
    <w:rsid w:val="00B71E3A"/>
    <w:rsid w:val="00B843B2"/>
    <w:rsid w:val="00B87757"/>
    <w:rsid w:val="00B969ED"/>
    <w:rsid w:val="00BA7F3B"/>
    <w:rsid w:val="00BB20BE"/>
    <w:rsid w:val="00BB7B67"/>
    <w:rsid w:val="00BC3888"/>
    <w:rsid w:val="00BC6520"/>
    <w:rsid w:val="00BD4C2E"/>
    <w:rsid w:val="00BE0FE4"/>
    <w:rsid w:val="00BE5519"/>
    <w:rsid w:val="00C00633"/>
    <w:rsid w:val="00C053BE"/>
    <w:rsid w:val="00C16CE8"/>
    <w:rsid w:val="00C20EB2"/>
    <w:rsid w:val="00C27F6F"/>
    <w:rsid w:val="00C3311C"/>
    <w:rsid w:val="00C36BFD"/>
    <w:rsid w:val="00C4538B"/>
    <w:rsid w:val="00C533A9"/>
    <w:rsid w:val="00C53C23"/>
    <w:rsid w:val="00C61FA6"/>
    <w:rsid w:val="00C6570E"/>
    <w:rsid w:val="00C70733"/>
    <w:rsid w:val="00CB6206"/>
    <w:rsid w:val="00CB6D50"/>
    <w:rsid w:val="00CC53AD"/>
    <w:rsid w:val="00CC54FD"/>
    <w:rsid w:val="00CE20B3"/>
    <w:rsid w:val="00CE6FE5"/>
    <w:rsid w:val="00CF0A57"/>
    <w:rsid w:val="00D0426F"/>
    <w:rsid w:val="00D127DF"/>
    <w:rsid w:val="00D31586"/>
    <w:rsid w:val="00D44D04"/>
    <w:rsid w:val="00D46436"/>
    <w:rsid w:val="00D544B8"/>
    <w:rsid w:val="00D62AC4"/>
    <w:rsid w:val="00D63AC7"/>
    <w:rsid w:val="00D70856"/>
    <w:rsid w:val="00D71059"/>
    <w:rsid w:val="00D74C2A"/>
    <w:rsid w:val="00D950CC"/>
    <w:rsid w:val="00D96DE9"/>
    <w:rsid w:val="00DC3D8B"/>
    <w:rsid w:val="00DC4B8F"/>
    <w:rsid w:val="00DD7EC5"/>
    <w:rsid w:val="00DE39A3"/>
    <w:rsid w:val="00DE4B05"/>
    <w:rsid w:val="00DF3B8E"/>
    <w:rsid w:val="00DF62B2"/>
    <w:rsid w:val="00E025C3"/>
    <w:rsid w:val="00E02730"/>
    <w:rsid w:val="00E07848"/>
    <w:rsid w:val="00E10AE6"/>
    <w:rsid w:val="00E2036E"/>
    <w:rsid w:val="00E351FA"/>
    <w:rsid w:val="00E3681B"/>
    <w:rsid w:val="00E42AAD"/>
    <w:rsid w:val="00E67DD0"/>
    <w:rsid w:val="00E8099D"/>
    <w:rsid w:val="00E8112E"/>
    <w:rsid w:val="00E81AF8"/>
    <w:rsid w:val="00E843A5"/>
    <w:rsid w:val="00E872A9"/>
    <w:rsid w:val="00E937B8"/>
    <w:rsid w:val="00EA762F"/>
    <w:rsid w:val="00EB30BD"/>
    <w:rsid w:val="00EB5382"/>
    <w:rsid w:val="00ED2756"/>
    <w:rsid w:val="00ED5BD3"/>
    <w:rsid w:val="00EE581B"/>
    <w:rsid w:val="00EF43DE"/>
    <w:rsid w:val="00EF7EC6"/>
    <w:rsid w:val="00F02A28"/>
    <w:rsid w:val="00F1061D"/>
    <w:rsid w:val="00F11A97"/>
    <w:rsid w:val="00F1503E"/>
    <w:rsid w:val="00F15F29"/>
    <w:rsid w:val="00F20148"/>
    <w:rsid w:val="00F400C9"/>
    <w:rsid w:val="00F465AA"/>
    <w:rsid w:val="00F71F7C"/>
    <w:rsid w:val="00F76E25"/>
    <w:rsid w:val="00F77B9C"/>
    <w:rsid w:val="00F80DF7"/>
    <w:rsid w:val="00F96419"/>
    <w:rsid w:val="00F96CB4"/>
    <w:rsid w:val="00FA07F0"/>
    <w:rsid w:val="00FA3D04"/>
    <w:rsid w:val="00FC721C"/>
    <w:rsid w:val="00FE01EC"/>
    <w:rsid w:val="00FE0F37"/>
    <w:rsid w:val="00FE54FC"/>
    <w:rsid w:val="00FF47ED"/>
    <w:rsid w:val="00FF4D94"/>
    <w:rsid w:val="00FF6613"/>
    <w:rsid w:val="00FF78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E49AB"/>
  <w15:chartTrackingRefBased/>
  <w15:docId w15:val="{FFE2602F-A4A3-4451-95A9-A8E4AB6C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FA"/>
  </w:style>
  <w:style w:type="paragraph" w:styleId="Heading1">
    <w:name w:val="heading 1"/>
    <w:basedOn w:val="Normal"/>
    <w:next w:val="Normal"/>
    <w:link w:val="Heading1Char"/>
    <w:uiPriority w:val="9"/>
    <w:qFormat/>
    <w:rsid w:val="00E2036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2036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2036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E2036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E2036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2036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2036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2036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2036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12"/>
    <w:pPr>
      <w:ind w:left="720"/>
      <w:contextualSpacing/>
    </w:pPr>
  </w:style>
  <w:style w:type="paragraph" w:styleId="Header">
    <w:name w:val="header"/>
    <w:basedOn w:val="Normal"/>
    <w:link w:val="HeaderChar"/>
    <w:uiPriority w:val="99"/>
    <w:unhideWhenUsed/>
    <w:rsid w:val="000F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2AA"/>
  </w:style>
  <w:style w:type="paragraph" w:styleId="Footer">
    <w:name w:val="footer"/>
    <w:basedOn w:val="Normal"/>
    <w:link w:val="FooterChar"/>
    <w:uiPriority w:val="99"/>
    <w:unhideWhenUsed/>
    <w:rsid w:val="000F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2AA"/>
  </w:style>
  <w:style w:type="character" w:styleId="Hyperlink">
    <w:name w:val="Hyperlink"/>
    <w:basedOn w:val="DefaultParagraphFont"/>
    <w:uiPriority w:val="99"/>
    <w:unhideWhenUsed/>
    <w:rsid w:val="0058375A"/>
    <w:rPr>
      <w:color w:val="0563C1" w:themeColor="hyperlink"/>
      <w:u w:val="single"/>
    </w:rPr>
  </w:style>
  <w:style w:type="character" w:styleId="UnresolvedMention">
    <w:name w:val="Unresolved Mention"/>
    <w:basedOn w:val="DefaultParagraphFont"/>
    <w:uiPriority w:val="99"/>
    <w:semiHidden/>
    <w:unhideWhenUsed/>
    <w:rsid w:val="0058375A"/>
    <w:rPr>
      <w:color w:val="605E5C"/>
      <w:shd w:val="clear" w:color="auto" w:fill="E1DFDD"/>
    </w:rPr>
  </w:style>
  <w:style w:type="table" w:styleId="TableGrid">
    <w:name w:val="Table Grid"/>
    <w:basedOn w:val="TableNormal"/>
    <w:uiPriority w:val="39"/>
    <w:rsid w:val="003467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036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E2036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2036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E2036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E2036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2036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2036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2036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2036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2036E"/>
    <w:pPr>
      <w:spacing w:line="240" w:lineRule="auto"/>
    </w:pPr>
    <w:rPr>
      <w:b/>
      <w:bCs/>
      <w:smallCaps/>
      <w:color w:val="44546A" w:themeColor="text2"/>
    </w:rPr>
  </w:style>
  <w:style w:type="paragraph" w:styleId="Title">
    <w:name w:val="Title"/>
    <w:basedOn w:val="Normal"/>
    <w:next w:val="Normal"/>
    <w:link w:val="TitleChar"/>
    <w:uiPriority w:val="10"/>
    <w:qFormat/>
    <w:rsid w:val="00E2036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2036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2036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2036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2036E"/>
    <w:rPr>
      <w:b/>
      <w:bCs/>
    </w:rPr>
  </w:style>
  <w:style w:type="character" w:styleId="Emphasis">
    <w:name w:val="Emphasis"/>
    <w:basedOn w:val="DefaultParagraphFont"/>
    <w:uiPriority w:val="20"/>
    <w:qFormat/>
    <w:rsid w:val="00E2036E"/>
    <w:rPr>
      <w:i/>
      <w:iCs/>
    </w:rPr>
  </w:style>
  <w:style w:type="paragraph" w:styleId="NoSpacing">
    <w:name w:val="No Spacing"/>
    <w:uiPriority w:val="1"/>
    <w:qFormat/>
    <w:rsid w:val="00E2036E"/>
    <w:pPr>
      <w:spacing w:after="0" w:line="240" w:lineRule="auto"/>
    </w:pPr>
  </w:style>
  <w:style w:type="paragraph" w:styleId="Quote">
    <w:name w:val="Quote"/>
    <w:basedOn w:val="Normal"/>
    <w:next w:val="Normal"/>
    <w:link w:val="QuoteChar"/>
    <w:uiPriority w:val="29"/>
    <w:qFormat/>
    <w:rsid w:val="00E2036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2036E"/>
    <w:rPr>
      <w:color w:val="44546A" w:themeColor="text2"/>
      <w:sz w:val="24"/>
      <w:szCs w:val="24"/>
    </w:rPr>
  </w:style>
  <w:style w:type="paragraph" w:styleId="IntenseQuote">
    <w:name w:val="Intense Quote"/>
    <w:basedOn w:val="Normal"/>
    <w:next w:val="Normal"/>
    <w:link w:val="IntenseQuoteChar"/>
    <w:uiPriority w:val="30"/>
    <w:qFormat/>
    <w:rsid w:val="00E2036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2036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2036E"/>
    <w:rPr>
      <w:i/>
      <w:iCs/>
      <w:color w:val="595959" w:themeColor="text1" w:themeTint="A6"/>
    </w:rPr>
  </w:style>
  <w:style w:type="character" w:styleId="IntenseEmphasis">
    <w:name w:val="Intense Emphasis"/>
    <w:basedOn w:val="DefaultParagraphFont"/>
    <w:uiPriority w:val="21"/>
    <w:qFormat/>
    <w:rsid w:val="00E2036E"/>
    <w:rPr>
      <w:b/>
      <w:bCs/>
      <w:i/>
      <w:iCs/>
    </w:rPr>
  </w:style>
  <w:style w:type="character" w:styleId="SubtleReference">
    <w:name w:val="Subtle Reference"/>
    <w:basedOn w:val="DefaultParagraphFont"/>
    <w:uiPriority w:val="31"/>
    <w:qFormat/>
    <w:rsid w:val="00E2036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2036E"/>
    <w:rPr>
      <w:b/>
      <w:bCs/>
      <w:smallCaps/>
      <w:color w:val="44546A" w:themeColor="text2"/>
      <w:u w:val="single"/>
    </w:rPr>
  </w:style>
  <w:style w:type="character" w:styleId="BookTitle">
    <w:name w:val="Book Title"/>
    <w:basedOn w:val="DefaultParagraphFont"/>
    <w:uiPriority w:val="33"/>
    <w:qFormat/>
    <w:rsid w:val="00E2036E"/>
    <w:rPr>
      <w:b/>
      <w:bCs/>
      <w:smallCaps/>
      <w:spacing w:val="10"/>
    </w:rPr>
  </w:style>
  <w:style w:type="paragraph" w:styleId="TOCHeading">
    <w:name w:val="TOC Heading"/>
    <w:basedOn w:val="Heading1"/>
    <w:next w:val="Normal"/>
    <w:uiPriority w:val="39"/>
    <w:unhideWhenUsed/>
    <w:qFormat/>
    <w:rsid w:val="00E2036E"/>
    <w:pPr>
      <w:outlineLvl w:val="9"/>
    </w:pPr>
  </w:style>
  <w:style w:type="character" w:styleId="FollowedHyperlink">
    <w:name w:val="FollowedHyperlink"/>
    <w:basedOn w:val="DefaultParagraphFont"/>
    <w:uiPriority w:val="99"/>
    <w:semiHidden/>
    <w:unhideWhenUsed/>
    <w:rsid w:val="00C61FA6"/>
    <w:rPr>
      <w:color w:val="954F72" w:themeColor="followedHyperlink"/>
      <w:u w:val="single"/>
    </w:rPr>
  </w:style>
  <w:style w:type="paragraph" w:styleId="NormalWeb">
    <w:name w:val="Normal (Web)"/>
    <w:basedOn w:val="Normal"/>
    <w:uiPriority w:val="99"/>
    <w:semiHidden/>
    <w:unhideWhenUsed/>
    <w:rsid w:val="00C53C2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ummy-li">
    <w:name w:val="dummy-li"/>
    <w:basedOn w:val="Normal"/>
    <w:rsid w:val="00C53C2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enu-item">
    <w:name w:val="menu-item"/>
    <w:basedOn w:val="Normal"/>
    <w:rsid w:val="00C53C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12190"/>
    <w:rPr>
      <w:sz w:val="16"/>
      <w:szCs w:val="16"/>
    </w:rPr>
  </w:style>
  <w:style w:type="paragraph" w:styleId="CommentText">
    <w:name w:val="annotation text"/>
    <w:basedOn w:val="Normal"/>
    <w:link w:val="CommentTextChar"/>
    <w:uiPriority w:val="99"/>
    <w:unhideWhenUsed/>
    <w:rsid w:val="00012190"/>
    <w:pPr>
      <w:spacing w:line="240" w:lineRule="auto"/>
    </w:pPr>
    <w:rPr>
      <w:sz w:val="20"/>
      <w:szCs w:val="20"/>
    </w:rPr>
  </w:style>
  <w:style w:type="character" w:customStyle="1" w:styleId="CommentTextChar">
    <w:name w:val="Comment Text Char"/>
    <w:basedOn w:val="DefaultParagraphFont"/>
    <w:link w:val="CommentText"/>
    <w:uiPriority w:val="99"/>
    <w:rsid w:val="00012190"/>
    <w:rPr>
      <w:sz w:val="20"/>
      <w:szCs w:val="20"/>
    </w:rPr>
  </w:style>
  <w:style w:type="paragraph" w:styleId="CommentSubject">
    <w:name w:val="annotation subject"/>
    <w:basedOn w:val="CommentText"/>
    <w:next w:val="CommentText"/>
    <w:link w:val="CommentSubjectChar"/>
    <w:uiPriority w:val="99"/>
    <w:semiHidden/>
    <w:unhideWhenUsed/>
    <w:rsid w:val="00012190"/>
    <w:rPr>
      <w:b/>
      <w:bCs/>
    </w:rPr>
  </w:style>
  <w:style w:type="character" w:customStyle="1" w:styleId="CommentSubjectChar">
    <w:name w:val="Comment Subject Char"/>
    <w:basedOn w:val="CommentTextChar"/>
    <w:link w:val="CommentSubject"/>
    <w:uiPriority w:val="99"/>
    <w:semiHidden/>
    <w:rsid w:val="00012190"/>
    <w:rPr>
      <w:b/>
      <w:bCs/>
      <w:sz w:val="20"/>
      <w:szCs w:val="20"/>
    </w:rPr>
  </w:style>
  <w:style w:type="paragraph" w:customStyle="1" w:styleId="Default">
    <w:name w:val="Default"/>
    <w:rsid w:val="00C6570E"/>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364FCB"/>
    <w:pPr>
      <w:spacing w:after="100"/>
    </w:pPr>
  </w:style>
  <w:style w:type="paragraph" w:styleId="TOC2">
    <w:name w:val="toc 2"/>
    <w:basedOn w:val="Normal"/>
    <w:next w:val="Normal"/>
    <w:autoRedefine/>
    <w:uiPriority w:val="39"/>
    <w:unhideWhenUsed/>
    <w:rsid w:val="00364FCB"/>
    <w:pPr>
      <w:spacing w:after="100"/>
      <w:ind w:left="220"/>
    </w:pPr>
  </w:style>
  <w:style w:type="paragraph" w:styleId="TOC3">
    <w:name w:val="toc 3"/>
    <w:basedOn w:val="Normal"/>
    <w:next w:val="Normal"/>
    <w:autoRedefine/>
    <w:uiPriority w:val="39"/>
    <w:unhideWhenUsed/>
    <w:rsid w:val="00364FC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0789">
      <w:bodyDiv w:val="1"/>
      <w:marLeft w:val="0"/>
      <w:marRight w:val="0"/>
      <w:marTop w:val="0"/>
      <w:marBottom w:val="0"/>
      <w:divBdr>
        <w:top w:val="none" w:sz="0" w:space="0" w:color="auto"/>
        <w:left w:val="none" w:sz="0" w:space="0" w:color="auto"/>
        <w:bottom w:val="none" w:sz="0" w:space="0" w:color="auto"/>
        <w:right w:val="none" w:sz="0" w:space="0" w:color="auto"/>
      </w:divBdr>
    </w:div>
    <w:div w:id="278802568">
      <w:bodyDiv w:val="1"/>
      <w:marLeft w:val="0"/>
      <w:marRight w:val="0"/>
      <w:marTop w:val="0"/>
      <w:marBottom w:val="0"/>
      <w:divBdr>
        <w:top w:val="none" w:sz="0" w:space="0" w:color="auto"/>
        <w:left w:val="none" w:sz="0" w:space="0" w:color="auto"/>
        <w:bottom w:val="none" w:sz="0" w:space="0" w:color="auto"/>
        <w:right w:val="none" w:sz="0" w:space="0" w:color="auto"/>
      </w:divBdr>
    </w:div>
    <w:div w:id="420031852">
      <w:bodyDiv w:val="1"/>
      <w:marLeft w:val="0"/>
      <w:marRight w:val="0"/>
      <w:marTop w:val="0"/>
      <w:marBottom w:val="0"/>
      <w:divBdr>
        <w:top w:val="none" w:sz="0" w:space="0" w:color="auto"/>
        <w:left w:val="none" w:sz="0" w:space="0" w:color="auto"/>
        <w:bottom w:val="none" w:sz="0" w:space="0" w:color="auto"/>
        <w:right w:val="none" w:sz="0" w:space="0" w:color="auto"/>
      </w:divBdr>
    </w:div>
    <w:div w:id="440151517">
      <w:bodyDiv w:val="1"/>
      <w:marLeft w:val="0"/>
      <w:marRight w:val="0"/>
      <w:marTop w:val="0"/>
      <w:marBottom w:val="0"/>
      <w:divBdr>
        <w:top w:val="none" w:sz="0" w:space="0" w:color="auto"/>
        <w:left w:val="none" w:sz="0" w:space="0" w:color="auto"/>
        <w:bottom w:val="none" w:sz="0" w:space="0" w:color="auto"/>
        <w:right w:val="none" w:sz="0" w:space="0" w:color="auto"/>
      </w:divBdr>
    </w:div>
    <w:div w:id="472210373">
      <w:bodyDiv w:val="1"/>
      <w:marLeft w:val="0"/>
      <w:marRight w:val="0"/>
      <w:marTop w:val="0"/>
      <w:marBottom w:val="0"/>
      <w:divBdr>
        <w:top w:val="none" w:sz="0" w:space="0" w:color="auto"/>
        <w:left w:val="none" w:sz="0" w:space="0" w:color="auto"/>
        <w:bottom w:val="none" w:sz="0" w:space="0" w:color="auto"/>
        <w:right w:val="none" w:sz="0" w:space="0" w:color="auto"/>
      </w:divBdr>
    </w:div>
    <w:div w:id="980892195">
      <w:bodyDiv w:val="1"/>
      <w:marLeft w:val="0"/>
      <w:marRight w:val="0"/>
      <w:marTop w:val="0"/>
      <w:marBottom w:val="0"/>
      <w:divBdr>
        <w:top w:val="none" w:sz="0" w:space="0" w:color="auto"/>
        <w:left w:val="none" w:sz="0" w:space="0" w:color="auto"/>
        <w:bottom w:val="none" w:sz="0" w:space="0" w:color="auto"/>
        <w:right w:val="none" w:sz="0" w:space="0" w:color="auto"/>
      </w:divBdr>
      <w:divsChild>
        <w:div w:id="576401720">
          <w:marLeft w:val="0"/>
          <w:marRight w:val="0"/>
          <w:marTop w:val="0"/>
          <w:marBottom w:val="0"/>
          <w:divBdr>
            <w:top w:val="none" w:sz="0" w:space="0" w:color="auto"/>
            <w:left w:val="none" w:sz="0" w:space="0" w:color="auto"/>
            <w:bottom w:val="none" w:sz="0" w:space="0" w:color="auto"/>
            <w:right w:val="none" w:sz="0" w:space="0" w:color="auto"/>
          </w:divBdr>
          <w:divsChild>
            <w:div w:id="292099945">
              <w:marLeft w:val="0"/>
              <w:marRight w:val="0"/>
              <w:marTop w:val="0"/>
              <w:marBottom w:val="0"/>
              <w:divBdr>
                <w:top w:val="none" w:sz="0" w:space="0" w:color="auto"/>
                <w:left w:val="none" w:sz="0" w:space="0" w:color="auto"/>
                <w:bottom w:val="none" w:sz="0" w:space="0" w:color="auto"/>
                <w:right w:val="none" w:sz="0" w:space="0" w:color="auto"/>
              </w:divBdr>
              <w:divsChild>
                <w:div w:id="772822593">
                  <w:marLeft w:val="0"/>
                  <w:marRight w:val="0"/>
                  <w:marTop w:val="0"/>
                  <w:marBottom w:val="0"/>
                  <w:divBdr>
                    <w:top w:val="none" w:sz="0" w:space="0" w:color="auto"/>
                    <w:left w:val="none" w:sz="0" w:space="0" w:color="auto"/>
                    <w:bottom w:val="none" w:sz="0" w:space="0" w:color="auto"/>
                    <w:right w:val="none" w:sz="0" w:space="0" w:color="auto"/>
                  </w:divBdr>
                  <w:divsChild>
                    <w:div w:id="1628966894">
                      <w:marLeft w:val="0"/>
                      <w:marRight w:val="0"/>
                      <w:marTop w:val="0"/>
                      <w:marBottom w:val="0"/>
                      <w:divBdr>
                        <w:top w:val="none" w:sz="0" w:space="0" w:color="auto"/>
                        <w:left w:val="none" w:sz="0" w:space="0" w:color="auto"/>
                        <w:bottom w:val="none" w:sz="0" w:space="0" w:color="auto"/>
                        <w:right w:val="none" w:sz="0" w:space="0" w:color="auto"/>
                      </w:divBdr>
                      <w:divsChild>
                        <w:div w:id="1062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7795">
          <w:marLeft w:val="0"/>
          <w:marRight w:val="0"/>
          <w:marTop w:val="0"/>
          <w:marBottom w:val="0"/>
          <w:divBdr>
            <w:top w:val="none" w:sz="0" w:space="0" w:color="auto"/>
            <w:left w:val="none" w:sz="0" w:space="0" w:color="auto"/>
            <w:bottom w:val="none" w:sz="0" w:space="0" w:color="auto"/>
            <w:right w:val="none" w:sz="0" w:space="0" w:color="auto"/>
          </w:divBdr>
          <w:divsChild>
            <w:div w:id="1141537140">
              <w:marLeft w:val="0"/>
              <w:marRight w:val="0"/>
              <w:marTop w:val="0"/>
              <w:marBottom w:val="0"/>
              <w:divBdr>
                <w:top w:val="none" w:sz="0" w:space="0" w:color="auto"/>
                <w:left w:val="none" w:sz="0" w:space="0" w:color="auto"/>
                <w:bottom w:val="none" w:sz="0" w:space="0" w:color="auto"/>
                <w:right w:val="none" w:sz="0" w:space="0" w:color="auto"/>
              </w:divBdr>
              <w:divsChild>
                <w:div w:id="370424304">
                  <w:marLeft w:val="0"/>
                  <w:marRight w:val="0"/>
                  <w:marTop w:val="0"/>
                  <w:marBottom w:val="0"/>
                  <w:divBdr>
                    <w:top w:val="none" w:sz="0" w:space="0" w:color="auto"/>
                    <w:left w:val="none" w:sz="0" w:space="0" w:color="auto"/>
                    <w:bottom w:val="none" w:sz="0" w:space="0" w:color="auto"/>
                    <w:right w:val="none" w:sz="0" w:space="0" w:color="auto"/>
                  </w:divBdr>
                  <w:divsChild>
                    <w:div w:id="246378835">
                      <w:marLeft w:val="0"/>
                      <w:marRight w:val="0"/>
                      <w:marTop w:val="0"/>
                      <w:marBottom w:val="0"/>
                      <w:divBdr>
                        <w:top w:val="none" w:sz="0" w:space="0" w:color="auto"/>
                        <w:left w:val="none" w:sz="0" w:space="0" w:color="auto"/>
                        <w:bottom w:val="none" w:sz="0" w:space="0" w:color="auto"/>
                        <w:right w:val="none" w:sz="0" w:space="0" w:color="auto"/>
                      </w:divBdr>
                      <w:divsChild>
                        <w:div w:id="9754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13601">
      <w:bodyDiv w:val="1"/>
      <w:marLeft w:val="0"/>
      <w:marRight w:val="0"/>
      <w:marTop w:val="0"/>
      <w:marBottom w:val="0"/>
      <w:divBdr>
        <w:top w:val="none" w:sz="0" w:space="0" w:color="auto"/>
        <w:left w:val="none" w:sz="0" w:space="0" w:color="auto"/>
        <w:bottom w:val="none" w:sz="0" w:space="0" w:color="auto"/>
        <w:right w:val="none" w:sz="0" w:space="0" w:color="auto"/>
      </w:divBdr>
    </w:div>
    <w:div w:id="1290938773">
      <w:bodyDiv w:val="1"/>
      <w:marLeft w:val="0"/>
      <w:marRight w:val="0"/>
      <w:marTop w:val="0"/>
      <w:marBottom w:val="0"/>
      <w:divBdr>
        <w:top w:val="none" w:sz="0" w:space="0" w:color="auto"/>
        <w:left w:val="none" w:sz="0" w:space="0" w:color="auto"/>
        <w:bottom w:val="none" w:sz="0" w:space="0" w:color="auto"/>
        <w:right w:val="none" w:sz="0" w:space="0" w:color="auto"/>
      </w:divBdr>
    </w:div>
    <w:div w:id="1300528456">
      <w:bodyDiv w:val="1"/>
      <w:marLeft w:val="0"/>
      <w:marRight w:val="0"/>
      <w:marTop w:val="0"/>
      <w:marBottom w:val="0"/>
      <w:divBdr>
        <w:top w:val="none" w:sz="0" w:space="0" w:color="auto"/>
        <w:left w:val="none" w:sz="0" w:space="0" w:color="auto"/>
        <w:bottom w:val="none" w:sz="0" w:space="0" w:color="auto"/>
        <w:right w:val="none" w:sz="0" w:space="0" w:color="auto"/>
      </w:divBdr>
      <w:divsChild>
        <w:div w:id="963535214">
          <w:marLeft w:val="0"/>
          <w:marRight w:val="0"/>
          <w:marTop w:val="0"/>
          <w:marBottom w:val="0"/>
          <w:divBdr>
            <w:top w:val="none" w:sz="0" w:space="0" w:color="auto"/>
            <w:left w:val="none" w:sz="0" w:space="0" w:color="auto"/>
            <w:bottom w:val="none" w:sz="0" w:space="0" w:color="auto"/>
            <w:right w:val="none" w:sz="0" w:space="0" w:color="auto"/>
          </w:divBdr>
        </w:div>
        <w:div w:id="1413547687">
          <w:marLeft w:val="0"/>
          <w:marRight w:val="0"/>
          <w:marTop w:val="0"/>
          <w:marBottom w:val="0"/>
          <w:divBdr>
            <w:top w:val="none" w:sz="0" w:space="0" w:color="auto"/>
            <w:left w:val="none" w:sz="0" w:space="0" w:color="auto"/>
            <w:bottom w:val="none" w:sz="0" w:space="0" w:color="auto"/>
            <w:right w:val="none" w:sz="0" w:space="0" w:color="auto"/>
          </w:divBdr>
        </w:div>
        <w:div w:id="1313020728">
          <w:marLeft w:val="0"/>
          <w:marRight w:val="0"/>
          <w:marTop w:val="0"/>
          <w:marBottom w:val="0"/>
          <w:divBdr>
            <w:top w:val="none" w:sz="0" w:space="0" w:color="auto"/>
            <w:left w:val="none" w:sz="0" w:space="0" w:color="auto"/>
            <w:bottom w:val="none" w:sz="0" w:space="0" w:color="auto"/>
            <w:right w:val="none" w:sz="0" w:space="0" w:color="auto"/>
          </w:divBdr>
        </w:div>
      </w:divsChild>
    </w:div>
    <w:div w:id="1490755191">
      <w:bodyDiv w:val="1"/>
      <w:marLeft w:val="0"/>
      <w:marRight w:val="0"/>
      <w:marTop w:val="0"/>
      <w:marBottom w:val="0"/>
      <w:divBdr>
        <w:top w:val="none" w:sz="0" w:space="0" w:color="auto"/>
        <w:left w:val="none" w:sz="0" w:space="0" w:color="auto"/>
        <w:bottom w:val="none" w:sz="0" w:space="0" w:color="auto"/>
        <w:right w:val="none" w:sz="0" w:space="0" w:color="auto"/>
      </w:divBdr>
    </w:div>
    <w:div w:id="1567453473">
      <w:bodyDiv w:val="1"/>
      <w:marLeft w:val="0"/>
      <w:marRight w:val="0"/>
      <w:marTop w:val="0"/>
      <w:marBottom w:val="0"/>
      <w:divBdr>
        <w:top w:val="none" w:sz="0" w:space="0" w:color="auto"/>
        <w:left w:val="none" w:sz="0" w:space="0" w:color="auto"/>
        <w:bottom w:val="none" w:sz="0" w:space="0" w:color="auto"/>
        <w:right w:val="none" w:sz="0" w:space="0" w:color="auto"/>
      </w:divBdr>
    </w:div>
    <w:div w:id="1615669339">
      <w:bodyDiv w:val="1"/>
      <w:marLeft w:val="0"/>
      <w:marRight w:val="0"/>
      <w:marTop w:val="0"/>
      <w:marBottom w:val="0"/>
      <w:divBdr>
        <w:top w:val="none" w:sz="0" w:space="0" w:color="auto"/>
        <w:left w:val="none" w:sz="0" w:space="0" w:color="auto"/>
        <w:bottom w:val="none" w:sz="0" w:space="0" w:color="auto"/>
        <w:right w:val="none" w:sz="0" w:space="0" w:color="auto"/>
      </w:divBdr>
    </w:div>
    <w:div w:id="1865513484">
      <w:bodyDiv w:val="1"/>
      <w:marLeft w:val="0"/>
      <w:marRight w:val="0"/>
      <w:marTop w:val="0"/>
      <w:marBottom w:val="0"/>
      <w:divBdr>
        <w:top w:val="none" w:sz="0" w:space="0" w:color="auto"/>
        <w:left w:val="none" w:sz="0" w:space="0" w:color="auto"/>
        <w:bottom w:val="none" w:sz="0" w:space="0" w:color="auto"/>
        <w:right w:val="none" w:sz="0" w:space="0" w:color="auto"/>
      </w:divBdr>
    </w:div>
    <w:div w:id="1883857406">
      <w:bodyDiv w:val="1"/>
      <w:marLeft w:val="0"/>
      <w:marRight w:val="0"/>
      <w:marTop w:val="0"/>
      <w:marBottom w:val="0"/>
      <w:divBdr>
        <w:top w:val="none" w:sz="0" w:space="0" w:color="auto"/>
        <w:left w:val="none" w:sz="0" w:space="0" w:color="auto"/>
        <w:bottom w:val="none" w:sz="0" w:space="0" w:color="auto"/>
        <w:right w:val="none" w:sz="0" w:space="0" w:color="auto"/>
      </w:divBdr>
    </w:div>
    <w:div w:id="1992561351">
      <w:bodyDiv w:val="1"/>
      <w:marLeft w:val="0"/>
      <w:marRight w:val="0"/>
      <w:marTop w:val="0"/>
      <w:marBottom w:val="0"/>
      <w:divBdr>
        <w:top w:val="none" w:sz="0" w:space="0" w:color="auto"/>
        <w:left w:val="none" w:sz="0" w:space="0" w:color="auto"/>
        <w:bottom w:val="none" w:sz="0" w:space="0" w:color="auto"/>
        <w:right w:val="none" w:sz="0" w:space="0" w:color="auto"/>
      </w:divBdr>
      <w:divsChild>
        <w:div w:id="1320500397">
          <w:marLeft w:val="0"/>
          <w:marRight w:val="0"/>
          <w:marTop w:val="0"/>
          <w:marBottom w:val="0"/>
          <w:divBdr>
            <w:top w:val="none" w:sz="0" w:space="0" w:color="auto"/>
            <w:left w:val="none" w:sz="0" w:space="0" w:color="auto"/>
            <w:bottom w:val="none" w:sz="0" w:space="0" w:color="auto"/>
            <w:right w:val="none" w:sz="0" w:space="0" w:color="auto"/>
          </w:divBdr>
        </w:div>
        <w:div w:id="1072972476">
          <w:marLeft w:val="0"/>
          <w:marRight w:val="0"/>
          <w:marTop w:val="0"/>
          <w:marBottom w:val="0"/>
          <w:divBdr>
            <w:top w:val="none" w:sz="0" w:space="0" w:color="auto"/>
            <w:left w:val="none" w:sz="0" w:space="0" w:color="auto"/>
            <w:bottom w:val="none" w:sz="0" w:space="0" w:color="auto"/>
            <w:right w:val="none" w:sz="0" w:space="0" w:color="auto"/>
          </w:divBdr>
        </w:div>
        <w:div w:id="1307736312">
          <w:marLeft w:val="0"/>
          <w:marRight w:val="0"/>
          <w:marTop w:val="0"/>
          <w:marBottom w:val="0"/>
          <w:divBdr>
            <w:top w:val="none" w:sz="0" w:space="0" w:color="auto"/>
            <w:left w:val="none" w:sz="0" w:space="0" w:color="auto"/>
            <w:bottom w:val="none" w:sz="0" w:space="0" w:color="auto"/>
            <w:right w:val="none" w:sz="0" w:space="0" w:color="auto"/>
          </w:divBdr>
        </w:div>
      </w:divsChild>
    </w:div>
    <w:div w:id="1996563332">
      <w:bodyDiv w:val="1"/>
      <w:marLeft w:val="0"/>
      <w:marRight w:val="0"/>
      <w:marTop w:val="0"/>
      <w:marBottom w:val="0"/>
      <w:divBdr>
        <w:top w:val="none" w:sz="0" w:space="0" w:color="auto"/>
        <w:left w:val="none" w:sz="0" w:space="0" w:color="auto"/>
        <w:bottom w:val="none" w:sz="0" w:space="0" w:color="auto"/>
        <w:right w:val="none" w:sz="0" w:space="0" w:color="auto"/>
      </w:divBdr>
    </w:div>
    <w:div w:id="21204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p-9.01/" TargetMode="External"/><Relationship Id="rId13" Type="http://schemas.openxmlformats.org/officeDocument/2006/relationships/hyperlink" Target="https://www.canada.ca/en/health-canada/news/2023/06/government-of-canada-moves-forward-on-commitments-to-strengthen-the-pesticide-review-process.html" TargetMode="External"/><Relationship Id="rId18" Type="http://schemas.openxmlformats.org/officeDocument/2006/relationships/hyperlink" Target="https://safefoodmatters.org/wp-content/uploads/2022/09/20220413-Comments-to-PMRA-on-GLY-increases-in-PMRL-2021-01.pdf" TargetMode="External"/><Relationship Id="rId26" Type="http://schemas.openxmlformats.org/officeDocument/2006/relationships/hyperlink" Target="https://www.canada.ca/en/health-canada/services/consumer-product-safety/pesticides-pest-management/public/consultations/proposed-maximum-residue-limit/2023/fludioxonil-sugar-beet-roots.html" TargetMode="External"/><Relationship Id="rId39" Type="http://schemas.openxmlformats.org/officeDocument/2006/relationships/hyperlink" Target="https://www.fao.org/pest-and-pesticide-management/pesticide-risk-reduction/code-conduct/en/" TargetMode="External"/><Relationship Id="rId3" Type="http://schemas.openxmlformats.org/officeDocument/2006/relationships/styles" Target="styles.xml"/><Relationship Id="rId21" Type="http://schemas.openxmlformats.org/officeDocument/2006/relationships/hyperlink" Target="https://epe.bac-lac.gc.ca/100/200/301/pwgsc-tpsgc/por-ef/health/2023/088-22-e/index.html" TargetMode="External"/><Relationship Id="rId34" Type="http://schemas.openxmlformats.org/officeDocument/2006/relationships/hyperlink" Target="https://www.fao.org/3/cb8313en/cb8313en.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afefoodmatters.org/2023/07/13/key-scientist-resigns-from-pmras-scientific-advisory-committee/" TargetMode="External"/><Relationship Id="rId1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25" Type="http://schemas.openxmlformats.org/officeDocument/2006/relationships/hyperlink" Target="https://www.cbd.int/article/cop15-cbd-press-release-final-19dec2022" TargetMode="External"/><Relationship Id="rId33" Type="http://schemas.openxmlformats.org/officeDocument/2006/relationships/hyperlink" Target="https://www.canada.ca/en/health-canada/services/consumer-product-safety/pesticides-pest-management/public/consultations/proposed-maximum-residue-limit/2021/glyphosate/document.html" TargetMode="External"/><Relationship Id="rId38" Type="http://schemas.openxmlformats.org/officeDocument/2006/relationships/hyperlink" Target="https://www.fao.org/3/cb3352en/cb3352en.pdf" TargetMode="External"/><Relationship Id="rId2" Type="http://schemas.openxmlformats.org/officeDocument/2006/relationships/numbering" Target="numbering.xml"/><Relationship Id="rId16" Type="http://schemas.openxmlformats.org/officeDocument/2006/relationships/hyperlink" Target="https://www.producer.com/crops/is-pre-harvest-glyphosate-worth-it/?utm_source=Western+Producer" TargetMode="External"/><Relationship Id="rId20" Type="http://schemas.openxmlformats.org/officeDocument/2006/relationships/hyperlink" Target="https://laws-lois.justice.gc.ca/eng/acts/P-10/" TargetMode="External"/><Relationship Id="rId29" Type="http://schemas.openxmlformats.org/officeDocument/2006/relationships/hyperlink" Target="https://www.canada.ca/en/health-canada/services/consumer-product-safety/pesticides-pest-management/public/consultations/proposed-maximum-residue-limit/2023/azoxystrobin.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news/2021/08/government-of-canada-pauses-decision-on-glyphosate-as-it-strengthens-the-capacity-and-transparency-of-review-process-for-pesticides.html" TargetMode="External"/><Relationship Id="rId24" Type="http://schemas.openxmlformats.org/officeDocument/2006/relationships/hyperlink" Target="https://en.wikipedia.org/wiki/Beef_hormone_controversy" TargetMode="External"/><Relationship Id="rId32" Type="http://schemas.openxmlformats.org/officeDocument/2006/relationships/hyperlink" Target="https://www.fao.org/pest-and-pesticide-management/guidelines-standards/faowho-joint-meeting-on-pesticide-residues-jmpr/reports/en/" TargetMode="External"/><Relationship Id="rId37" Type="http://schemas.openxmlformats.org/officeDocument/2006/relationships/hyperlink" Target="https://onedrive.live.com/view.aspx?resid=3301A7397AD0C943%2122753&amp;id=documents&amp;wd=target%28SFM.one%7C42D94F20-5E19-4AD7-84C8-8C552E239E54%2FMRL%20Issue%7C6B070C71-BA80-4EF6-8144-47CAE564AF31%2F%29"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etitions.ourcommons.ca/en/Petition/Details?Petition=e-4127" TargetMode="External"/><Relationship Id="rId23" Type="http://schemas.openxmlformats.org/officeDocument/2006/relationships/hyperlink" Target="https://www.wto.org/english/tratop_e/sps_e/spsund_e.htm" TargetMode="External"/><Relationship Id="rId28" Type="http://schemas.openxmlformats.org/officeDocument/2006/relationships/hyperlink" Target="https://www.canada.ca/en/health-canada/services/consumer-product-safety/pesticides-pest-management/public/consultations/proposed-maximum-residue-limit/2023/fludioxonil-sugar-beet-roots.html" TargetMode="External"/><Relationship Id="rId36" Type="http://schemas.openxmlformats.org/officeDocument/2006/relationships/hyperlink" Target="https://en.wikipedia.org/wiki/CropLife_International" TargetMode="External"/><Relationship Id="rId10" Type="http://schemas.openxmlformats.org/officeDocument/2006/relationships/hyperlink" Target="https://www.canada.ca/en/health-canada/services/consumer-product-safety/pesticides-pest-management/public/consultations/proposed-maximum-residue-limit/2021/glyphosate/document.html" TargetMode="External"/><Relationship Id="rId19" Type="http://schemas.openxmlformats.org/officeDocument/2006/relationships/hyperlink" Target="https://www.canada.ca/en/health-canada/services/consumer-product-safety/reports-publications/pesticides-pest-management/corporate-plans-reports/pesticides-compliance-program-activity-report-2021-2022.html" TargetMode="External"/><Relationship Id="rId31" Type="http://schemas.openxmlformats.org/officeDocument/2006/relationships/hyperlink" Target="https://www.fao.org/fao-who-codexalimentarius/thematic-areas/pesticides/en/" TargetMode="Externa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yperlink" Target="https://www.canada.ca/en/health-canada/services/consumer-product-safety/pesticides-pest-management/public/consultations/notice-intent/2023/strengthening-regulations-pest-control-products/document.html" TargetMode="External"/><Relationship Id="rId22" Type="http://schemas.openxmlformats.org/officeDocument/2006/relationships/hyperlink" Target="https://www.canada-organic.ca/sites/default/files/glyphosate_report-_august_2014.final_.pdf" TargetMode="External"/><Relationship Id="rId27" Type="http://schemas.openxmlformats.org/officeDocument/2006/relationships/hyperlink" Target="https://www.canada.ca/en/health-canada/services/consumer-product-safety/pesticides-pest-management/public/consultations/proposed-maximum-residue-limit/2023/azoxystrobin.html" TargetMode="External"/><Relationship Id="rId30" Type="http://schemas.openxmlformats.org/officeDocument/2006/relationships/hyperlink" Target="https://www.oecd.org/env/mrl-calculator-users-guide-and-white-paper-9789264221567-en.htm" TargetMode="External"/><Relationship Id="rId35" Type="http://schemas.openxmlformats.org/officeDocument/2006/relationships/hyperlink" Target="https://www.fao.org/fao-who-codexalimentarius/meetings/detail/en/?meeting=CCPR&amp;session=52"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0E99-CD81-4992-A40E-86390D4A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5169</Words>
  <Characters>29467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McDonald</dc:creator>
  <cp:keywords/>
  <dc:description/>
  <cp:lastModifiedBy>Mary Lou McDonald</cp:lastModifiedBy>
  <cp:revision>3</cp:revision>
  <cp:lastPrinted>2023-09-13T22:25:00Z</cp:lastPrinted>
  <dcterms:created xsi:type="dcterms:W3CDTF">2023-10-31T14:38:00Z</dcterms:created>
  <dcterms:modified xsi:type="dcterms:W3CDTF">2023-10-31T14:38:00Z</dcterms:modified>
</cp:coreProperties>
</file>